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3366"/>
          <w:sz w:val="40"/>
        </w:rPr>
        <w:t>180-Day India Knee Joint Revenue Growth Plan</w:t>
      </w:r>
    </w:p>
    <w:p>
      <w:pPr>
        <w:jc w:val="center"/>
      </w:pPr>
      <w:r>
        <w:rPr>
          <w:rFonts w:ascii="Times New Roman" w:hAnsi="Times New Roman"/>
          <w:color w:val="F0A500"/>
          <w:sz w:val="28"/>
        </w:rPr>
        <w:t>Speaker Notes &amp; Presenter Script</w:t>
      </w:r>
    </w:p>
    <w:p>
      <w:pPr>
        <w:jc w:val="center"/>
      </w:pPr>
      <w:r>
        <w:rPr>
          <w:rFonts w:ascii="Times New Roman" w:hAnsi="Times New Roman"/>
          <w:color w:val="000000"/>
          <w:sz w:val="24"/>
        </w:rPr>
        <w:t>Zimmer Biomet India | ADGcatalyst Strategic Consulting | 2026</w:t>
      </w:r>
    </w:p>
    <w:p/>
    <w:p>
      <w:pPr>
        <w:pBdr>
          <w:bottom w:val="single" w:sz="6" w:space="1" w:color="003366"/>
        </w:pBdr>
        <w:spacing w:after="120"/>
      </w:pPr>
    </w:p>
    <w:p/>
    <w:p>
      <w:pPr>
        <w:spacing w:before="360" w:after="40"/>
      </w:pPr>
      <w:r>
        <w:rPr>
          <w:rFonts w:ascii="Times New Roman" w:hAnsi="Times New Roman"/>
          <w:b/>
          <w:color w:val="003366"/>
          <w:sz w:val="28"/>
        </w:rPr>
        <w:t>Slide 1  |  Title Slide</w:t>
      </w:r>
    </w:p>
    <w:p>
      <w:pPr>
        <w:spacing w:after="120"/>
      </w:pPr>
      <w:r>
        <w:rPr>
          <w:rFonts w:ascii="Times New Roman" w:hAnsi="Times New Roman"/>
          <w:b/>
          <w:color w:val="F0A500"/>
          <w:sz w:val="24"/>
        </w:rPr>
        <w:t>India Knee Joint Revenue Growth Plan</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Welcome the CEO and any senior leadership present. Introduce yourself briefly — Atantra Dasgupta, ADGcatalyst Strategic Consulting. Set the tone: this is a structured, evidence-backed 180-day programme to recover and grow Zimmer Biomet India's knee joint revenue, with a particular emphasis on ROSA robotic business and corporate hospital penetration.</w:t>
      </w:r>
    </w:p>
    <w:p>
      <w:pPr>
        <w:spacing w:after="120"/>
        <w:ind w:firstLine="0"/>
      </w:pPr>
      <w:r>
        <w:rPr>
          <w:rFonts w:ascii="Times New Roman" w:hAnsi="Times New Roman"/>
          <w:color w:val="000000"/>
          <w:sz w:val="24"/>
        </w:rPr>
        <w:t>Key message to open with: 'We have a proven platform in ROSA Knee. The gap is not technology — it is go-to-market structure, KOL activation, and institutional access. This plan fixes all three.'</w:t>
      </w:r>
    </w:p>
    <w:p>
      <w:pPr>
        <w:spacing w:after="120"/>
        <w:ind w:firstLine="0"/>
      </w:pPr>
      <w:r>
        <w:rPr>
          <w:rFonts w:ascii="Times New Roman" w:hAnsi="Times New Roman"/>
          <w:color w:val="000000"/>
          <w:sz w:val="24"/>
        </w:rPr>
        <w:t>Pause to allow the audience to absorb the title. Do not rush into the content — let the gravity of the agenda land.</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1 minute</w:t>
      </w:r>
    </w:p>
    <w:p>
      <w:pPr>
        <w:pStyle w:val="ListBullet"/>
        <w:spacing w:after="60"/>
      </w:pPr>
      <w:r>
        <w:rPr>
          <w:rFonts w:ascii="Times New Roman" w:hAnsi="Times New Roman"/>
          <w:color w:val="000000"/>
          <w:sz w:val="24"/>
        </w:rPr>
        <w:t>Tone: confident, strategic, consultative</w:t>
      </w:r>
    </w:p>
    <w:p>
      <w:pPr>
        <w:pStyle w:val="ListBullet"/>
        <w:spacing w:after="60"/>
      </w:pPr>
      <w:r>
        <w:rPr>
          <w:rFonts w:ascii="Times New Roman" w:hAnsi="Times New Roman"/>
          <w:color w:val="000000"/>
          <w:sz w:val="24"/>
        </w:rPr>
        <w:t>Avoid any commercial pricing references on this slide</w:t>
      </w:r>
    </w:p>
    <w:p/>
    <w:p>
      <w:pPr>
        <w:spacing w:before="360" w:after="40"/>
      </w:pPr>
      <w:r>
        <w:rPr>
          <w:rFonts w:ascii="Times New Roman" w:hAnsi="Times New Roman"/>
          <w:b/>
          <w:color w:val="003366"/>
          <w:sz w:val="28"/>
        </w:rPr>
        <w:t>Slide 2  |  Problem Statement</w:t>
      </w:r>
    </w:p>
    <w:p>
      <w:pPr>
        <w:spacing w:after="120"/>
      </w:pPr>
      <w:r>
        <w:rPr>
          <w:rFonts w:ascii="Times New Roman" w:hAnsi="Times New Roman"/>
          <w:b/>
          <w:color w:val="F0A500"/>
          <w:sz w:val="24"/>
        </w:rPr>
        <w:t>Why We Must Act Now</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This slide establishes the burning platform. The core message: Zimmer Biomet India is losing ground to Stryker MAKO specifically in corporate hospital chains — the highest-volume, highest-margin segment. This is not a national average problem; it is concentrated in Apollo, Fortis, Max, and Manipal.</w:t>
      </w:r>
    </w:p>
    <w:p>
      <w:pPr>
        <w:spacing w:after="120"/>
        <w:ind w:firstLine="0"/>
      </w:pPr>
      <w:r>
        <w:rPr>
          <w:rFonts w:ascii="Times New Roman" w:hAnsi="Times New Roman"/>
          <w:color w:val="000000"/>
          <w:sz w:val="24"/>
        </w:rPr>
        <w:t>Walk the audience through three compounding issues: (1) We have no relationships with the CMOs and Medical Directors who control procurement at these chains. (2) Our salesforce is trained on product features, not on clinical outcome narratives that resonate with hospital administrators. (3) ROSA sits underutilised — 9 robots with suboptimal throughput represent over Rs. 1.6 crore in annual recoverable revenue.</w:t>
      </w:r>
    </w:p>
    <w:p>
      <w:pPr>
        <w:spacing w:after="120"/>
        <w:ind w:firstLine="0"/>
      </w:pPr>
      <w:r>
        <w:rPr>
          <w:rFonts w:ascii="Times New Roman" w:hAnsi="Times New Roman"/>
          <w:color w:val="000000"/>
          <w:sz w:val="24"/>
        </w:rPr>
        <w:t>Close this slide with: 'Every week we delay is market share that Stryker cements.'</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2-3 minutes</w:t>
      </w:r>
    </w:p>
    <w:p>
      <w:pPr>
        <w:pStyle w:val="ListBullet"/>
        <w:spacing w:after="60"/>
      </w:pPr>
      <w:r>
        <w:rPr>
          <w:rFonts w:ascii="Times New Roman" w:hAnsi="Times New Roman"/>
          <w:color w:val="000000"/>
          <w:sz w:val="24"/>
        </w:rPr>
        <w:t>Emphasis: urgency and specificity — name Apollo, Fortis, Max, Manipal</w:t>
      </w:r>
    </w:p>
    <w:p>
      <w:pPr>
        <w:pStyle w:val="ListBullet"/>
        <w:spacing w:after="60"/>
      </w:pPr>
      <w:r>
        <w:rPr>
          <w:rFonts w:ascii="Times New Roman" w:hAnsi="Times New Roman"/>
          <w:color w:val="000000"/>
          <w:sz w:val="24"/>
        </w:rPr>
        <w:t>Cite the Rs. 1.6 crore underutilised ROSA figure for impact</w:t>
      </w:r>
    </w:p>
    <w:p/>
    <w:p>
      <w:pPr>
        <w:spacing w:before="360" w:after="40"/>
      </w:pPr>
      <w:r>
        <w:rPr>
          <w:rFonts w:ascii="Times New Roman" w:hAnsi="Times New Roman"/>
          <w:b/>
          <w:color w:val="003366"/>
          <w:sz w:val="28"/>
        </w:rPr>
        <w:t>Slide 3  |  Market Intelligence</w:t>
      </w:r>
    </w:p>
    <w:p>
      <w:pPr>
        <w:spacing w:after="120"/>
      </w:pPr>
      <w:r>
        <w:rPr>
          <w:rFonts w:ascii="Times New Roman" w:hAnsi="Times New Roman"/>
          <w:b/>
          <w:color w:val="F0A500"/>
          <w:sz w:val="24"/>
        </w:rPr>
        <w:t>Market Opportunity &amp; Competitive Gap</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Present the market numbers confidently. India orthopaedic market is USD 2.8 billion in 2025, growing at 5.57% CAGR through 2034. Zimmer Biomet India currently holds 8-10% share — and that share is declining.</w:t>
      </w:r>
    </w:p>
    <w:p>
      <w:pPr>
        <w:spacing w:after="120"/>
        <w:ind w:firstLine="0"/>
      </w:pPr>
      <w:r>
        <w:rPr>
          <w:rFonts w:ascii="Times New Roman" w:hAnsi="Times New Roman"/>
          <w:color w:val="000000"/>
          <w:sz w:val="24"/>
        </w:rPr>
        <w:t>The competitive gap is stark: Stryker MAKO dominates corporate hospital robotic narrative. The reason is not clinical superiority — it is relationship management and structured access. MAKO's 36-landmark mapping is objectively inferior to ROSA's 90-landmark precision, but Stryker sales teams have positioned MAKO as the 'standard' in corporate accounts.</w:t>
      </w:r>
    </w:p>
    <w:p>
      <w:pPr>
        <w:spacing w:after="120"/>
        <w:ind w:firstLine="0"/>
      </w:pPr>
      <w:r>
        <w:rPr>
          <w:rFonts w:ascii="Times New Roman" w:hAnsi="Times New Roman"/>
          <w:color w:val="000000"/>
          <w:sz w:val="24"/>
        </w:rPr>
        <w:t>The opportunity: Tier-2 cities are underserved. KOL relationships are unmapped. ROSA's clinical advantage has not been communicated in the language hospital decision-makers use.</w:t>
      </w:r>
    </w:p>
    <w:p>
      <w:pPr>
        <w:spacing w:after="120"/>
        <w:ind w:firstLine="0"/>
      </w:pPr>
      <w:r>
        <w:rPr>
          <w:rFonts w:ascii="Times New Roman" w:hAnsi="Times New Roman"/>
          <w:color w:val="000000"/>
          <w:sz w:val="24"/>
        </w:rPr>
        <w:t>Use this slide to pivot: 'We are not chasing Stryker. We are building a better, more durable market position.'</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2-3 minutes</w:t>
      </w:r>
    </w:p>
    <w:p>
      <w:pPr>
        <w:pStyle w:val="ListBullet"/>
        <w:spacing w:after="60"/>
      </w:pPr>
      <w:r>
        <w:rPr>
          <w:rFonts w:ascii="Times New Roman" w:hAnsi="Times New Roman"/>
          <w:color w:val="000000"/>
          <w:sz w:val="24"/>
        </w:rPr>
        <w:t>Do not position this as a defensive slide — frame as opportunity</w:t>
      </w:r>
    </w:p>
    <w:p>
      <w:pPr>
        <w:pStyle w:val="ListBullet"/>
        <w:spacing w:after="60"/>
      </w:pPr>
      <w:r>
        <w:rPr>
          <w:rFonts w:ascii="Times New Roman" w:hAnsi="Times New Roman"/>
          <w:color w:val="000000"/>
          <w:sz w:val="24"/>
        </w:rPr>
        <w:t>The 5.57% CAGR number signals a large, growing market — emphasise growth, not just competition</w:t>
      </w:r>
    </w:p>
    <w:p/>
    <w:p>
      <w:pPr>
        <w:spacing w:before="360" w:after="40"/>
      </w:pPr>
      <w:r>
        <w:rPr>
          <w:rFonts w:ascii="Times New Roman" w:hAnsi="Times New Roman"/>
          <w:b/>
          <w:color w:val="003366"/>
          <w:sz w:val="28"/>
        </w:rPr>
        <w:t>Slide 4  |  180-Day Plan Overview</w:t>
      </w:r>
    </w:p>
    <w:p>
      <w:pPr>
        <w:spacing w:after="120"/>
      </w:pPr>
      <w:r>
        <w:rPr>
          <w:rFonts w:ascii="Times New Roman" w:hAnsi="Times New Roman"/>
          <w:b/>
          <w:color w:val="F0A500"/>
          <w:sz w:val="24"/>
        </w:rPr>
        <w:t>Six Phases at a Glance</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Give the audience the architecture of the plan in one view. Six phases of 30 days each, each building on the last. Phases 1-2 are internal (salesforce and access). Phases 3-4 are external relationship building (KOL, corporate). Phases 5-6 are revenue acceleration and institutionalisation.</w:t>
      </w:r>
    </w:p>
    <w:p>
      <w:pPr>
        <w:spacing w:after="120"/>
        <w:ind w:firstLine="0"/>
      </w:pPr>
      <w:r>
        <w:rPr>
          <w:rFonts w:ascii="Times New Roman" w:hAnsi="Times New Roman"/>
          <w:color w:val="000000"/>
          <w:sz w:val="24"/>
        </w:rPr>
        <w:t>Key message: 'This is not a 180-day sprint followed by a cliff. Phase 6 is designed to make every gain self-sustaining.' Highlight the three strategic pillars running across all phases: ROSA + Implant Synergy, Corporate Hospital Access, and KOL Ecosystem.</w:t>
      </w:r>
    </w:p>
    <w:p>
      <w:pPr>
        <w:spacing w:after="120"/>
        <w:ind w:firstLine="0"/>
      </w:pPr>
      <w:r>
        <w:rPr>
          <w:rFonts w:ascii="Times New Roman" w:hAnsi="Times New Roman"/>
          <w:color w:val="000000"/>
          <w:sz w:val="24"/>
        </w:rPr>
        <w:t>Ask the CEO: 'Before we go into each phase, are there any priority sequences you would like to adjust?' — this invites engagement without disrupting the structure.</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 minutes</w:t>
      </w:r>
    </w:p>
    <w:p>
      <w:pPr>
        <w:pStyle w:val="ListBullet"/>
        <w:spacing w:after="60"/>
      </w:pPr>
      <w:r>
        <w:rPr>
          <w:rFonts w:ascii="Times New Roman" w:hAnsi="Times New Roman"/>
          <w:color w:val="000000"/>
          <w:sz w:val="24"/>
        </w:rPr>
        <w:t>Allow 30 seconds for questions before moving to Phase detail slides</w:t>
      </w:r>
    </w:p>
    <w:p>
      <w:pPr>
        <w:pStyle w:val="ListBullet"/>
        <w:spacing w:after="60"/>
      </w:pPr>
      <w:r>
        <w:rPr>
          <w:rFonts w:ascii="Times New Roman" w:hAnsi="Times New Roman"/>
          <w:color w:val="000000"/>
          <w:sz w:val="24"/>
        </w:rPr>
        <w:t>Reinforce: each phase has clear owner, milestone, and success metric</w:t>
      </w:r>
    </w:p>
    <w:p/>
    <w:p>
      <w:pPr>
        <w:spacing w:before="360" w:after="40"/>
      </w:pPr>
      <w:r>
        <w:rPr>
          <w:rFonts w:ascii="Times New Roman" w:hAnsi="Times New Roman"/>
          <w:b/>
          <w:color w:val="003366"/>
          <w:sz w:val="28"/>
        </w:rPr>
        <w:t>Slide 5  |  Phase 1 (Days 1-30)</w:t>
      </w:r>
    </w:p>
    <w:p>
      <w:pPr>
        <w:spacing w:after="120"/>
      </w:pPr>
      <w:r>
        <w:rPr>
          <w:rFonts w:ascii="Times New Roman" w:hAnsi="Times New Roman"/>
          <w:b/>
          <w:color w:val="F0A500"/>
          <w:sz w:val="24"/>
        </w:rPr>
        <w:t>Salesforce Mobilisation</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Phase 1 is internal alignment — the foundation. The headline deliverable is a National Salesforce Training Kick-off Meeting with all regions assembled in Week 1. This is not a product training — it is a clinical narrative and competitive positioning session.</w:t>
      </w:r>
    </w:p>
    <w:p>
      <w:pPr>
        <w:spacing w:after="120"/>
        <w:ind w:firstLine="0"/>
      </w:pPr>
      <w:r>
        <w:rPr>
          <w:rFonts w:ascii="Times New Roman" w:hAnsi="Times New Roman"/>
          <w:color w:val="000000"/>
          <w:sz w:val="24"/>
        </w:rPr>
        <w:t>Week 2 delivers territory-level account mapping: every sales rep identifies their top 3 corporate hospital targets and their current relationship status with CMO, Medical Director, and Head of Orthopaedics. Week 3 launches the ROSA OPTIMIZE protocol pilot at two test accounts. Week 4 produces a competitive intelligence brief per territory: where MAKO is entrenched, where ROSA has an opening.</w:t>
      </w:r>
    </w:p>
    <w:p>
      <w:pPr>
        <w:spacing w:after="120"/>
        <w:ind w:firstLine="0"/>
      </w:pPr>
      <w:r>
        <w:rPr>
          <w:rFonts w:ascii="Times New Roman" w:hAnsi="Times New Roman"/>
          <w:color w:val="000000"/>
          <w:sz w:val="24"/>
        </w:rPr>
        <w:t>Success metric: 100% of salesforce trained and account maps completed by Day 30. No account map, no territory target.</w:t>
      </w:r>
    </w:p>
    <w:p>
      <w:pPr>
        <w:spacing w:after="120"/>
        <w:ind w:firstLine="0"/>
      </w:pPr>
      <w:r>
        <w:rPr>
          <w:rFonts w:ascii="Times New Roman" w:hAnsi="Times New Roman"/>
          <w:color w:val="000000"/>
          <w:sz w:val="24"/>
        </w:rPr>
        <w:t>Management support required: CEO mandate for attendance at the kick-off meeting. Without a visible CEO endorsement, field teams will deprioritise.</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2-3 minutes</w:t>
      </w:r>
    </w:p>
    <w:p>
      <w:pPr>
        <w:pStyle w:val="ListBullet"/>
        <w:spacing w:after="60"/>
      </w:pPr>
      <w:r>
        <w:rPr>
          <w:rFonts w:ascii="Times New Roman" w:hAnsi="Times New Roman"/>
          <w:color w:val="000000"/>
          <w:sz w:val="24"/>
        </w:rPr>
        <w:t>Stress the CEO attendance requirement — this is non-negotiable for cultural shift</w:t>
      </w:r>
    </w:p>
    <w:p>
      <w:pPr>
        <w:pStyle w:val="ListBullet"/>
        <w:spacing w:after="60"/>
      </w:pPr>
      <w:r>
        <w:rPr>
          <w:rFonts w:ascii="Times New Roman" w:hAnsi="Times New Roman"/>
          <w:color w:val="000000"/>
          <w:sz w:val="24"/>
        </w:rPr>
        <w:t>ROSA OPTIMIZE pilot accounts should be named in advance — suggest discussing with sales leadership before the presentation</w:t>
      </w:r>
    </w:p>
    <w:p/>
    <w:p>
      <w:pPr>
        <w:spacing w:before="360" w:after="40"/>
      </w:pPr>
      <w:r>
        <w:rPr>
          <w:rFonts w:ascii="Times New Roman" w:hAnsi="Times New Roman"/>
          <w:b/>
          <w:color w:val="003366"/>
          <w:sz w:val="28"/>
        </w:rPr>
        <w:t>Slide 6  |  Phase 2 (Days 31-60)</w:t>
      </w:r>
    </w:p>
    <w:p>
      <w:pPr>
        <w:spacing w:after="120"/>
      </w:pPr>
      <w:r>
        <w:rPr>
          <w:rFonts w:ascii="Times New Roman" w:hAnsi="Times New Roman"/>
          <w:b/>
          <w:color w:val="F0A500"/>
          <w:sz w:val="24"/>
        </w:rPr>
        <w:t>Corporate Hospital Entry</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Phase 2 shifts from internal to external. The first action in Week 5 is decision-maker outreach to CMOs, Heads of Orthopaedics, and Medical Directors at Apollo, Fortis, Max, and Manipal. This requires warm introductions — the programme budget includes relationship facilitation.</w:t>
      </w:r>
    </w:p>
    <w:p>
      <w:pPr>
        <w:spacing w:after="120"/>
        <w:ind w:firstLine="0"/>
      </w:pPr>
      <w:r>
        <w:rPr>
          <w:rFonts w:ascii="Times New Roman" w:hAnsi="Times New Roman"/>
          <w:color w:val="000000"/>
          <w:sz w:val="24"/>
        </w:rPr>
        <w:t>Week 6 delivers the first Letters of Intent from at least two hospital chains. The LOI framework is pre-structured: it is not a commercial agreement, it is a clinical collaboration intent that creates a relationship anchor. Week 7 begins formal ROSA demonstration scheduling within corporate sites. Week 8 concludes with one formal ROSA case completed at a corporate account.</w:t>
      </w:r>
    </w:p>
    <w:p>
      <w:pPr>
        <w:spacing w:after="120"/>
        <w:ind w:firstLine="0"/>
      </w:pPr>
      <w:r>
        <w:rPr>
          <w:rFonts w:ascii="Times New Roman" w:hAnsi="Times New Roman"/>
          <w:color w:val="000000"/>
          <w:sz w:val="24"/>
        </w:rPr>
        <w:t>Management support required: Introduction from the CEO or Country Head to the CMO network is the single most effective accelerator at this stage. This is the most critical ask in the entire programme.</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2-3 minutes</w:t>
      </w:r>
    </w:p>
    <w:p>
      <w:pPr>
        <w:pStyle w:val="ListBullet"/>
        <w:spacing w:after="60"/>
      </w:pPr>
      <w:r>
        <w:rPr>
          <w:rFonts w:ascii="Times New Roman" w:hAnsi="Times New Roman"/>
          <w:color w:val="000000"/>
          <w:sz w:val="24"/>
        </w:rPr>
        <w:t>The LOI is a relationship tool, not a sales contract — emphasise this to the CEO to lower the perceived risk</w:t>
      </w:r>
    </w:p>
    <w:p>
      <w:pPr>
        <w:pStyle w:val="ListBullet"/>
        <w:spacing w:after="60"/>
      </w:pPr>
      <w:r>
        <w:rPr>
          <w:rFonts w:ascii="Times New Roman" w:hAnsi="Times New Roman"/>
          <w:color w:val="000000"/>
          <w:sz w:val="24"/>
        </w:rPr>
        <w:t>Name specific hospitals if possible — Apollo BKC Mumbai, Fortis Gurugram, Max Saket, Manipal Whitefield are primary targets</w:t>
      </w:r>
    </w:p>
    <w:p/>
    <w:p>
      <w:pPr>
        <w:spacing w:before="360" w:after="40"/>
      </w:pPr>
      <w:r>
        <w:rPr>
          <w:rFonts w:ascii="Times New Roman" w:hAnsi="Times New Roman"/>
          <w:b/>
          <w:color w:val="003366"/>
          <w:sz w:val="28"/>
        </w:rPr>
        <w:t>Slide 7  |  Phase 3 (Days 61-90)</w:t>
      </w:r>
    </w:p>
    <w:p>
      <w:pPr>
        <w:spacing w:after="120"/>
      </w:pPr>
      <w:r>
        <w:rPr>
          <w:rFonts w:ascii="Times New Roman" w:hAnsi="Times New Roman"/>
          <w:b/>
          <w:color w:val="F0A500"/>
          <w:sz w:val="24"/>
        </w:rPr>
        <w:t>KOL Ecosystem Development</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Phase 3 builds the external clinical credibility engine. The target is to identify and map 20 high-influence orthopaedic surgeons across Tier-1 cities by Week 9. Segmentation criteria: annual case volume, hospital affiliation, conference speaking history, and social media clinical presence.</w:t>
      </w:r>
    </w:p>
    <w:p>
      <w:pPr>
        <w:spacing w:after="120"/>
        <w:ind w:firstLine="0"/>
      </w:pPr>
      <w:r>
        <w:rPr>
          <w:rFonts w:ascii="Times New Roman" w:hAnsi="Times New Roman"/>
          <w:color w:val="000000"/>
          <w:sz w:val="24"/>
        </w:rPr>
        <w:t>Week 10 establishes the ROSA Champion programme — select 5 surgeons for an exclusive advisory relationship. These champions will co-author outcome data, participate in symposia, and serve as peer-to-peer advocates. Week 11 finalises the KOL Advisory Board structure with the CEO's formal nomination. Week 12 delivers the first KOL-led ROSA live surgery or webinar.</w:t>
      </w:r>
    </w:p>
    <w:p>
      <w:pPr>
        <w:spacing w:after="120"/>
        <w:ind w:firstLine="0"/>
      </w:pPr>
      <w:r>
        <w:rPr>
          <w:rFonts w:ascii="Times New Roman" w:hAnsi="Times New Roman"/>
          <w:color w:val="000000"/>
          <w:sz w:val="24"/>
        </w:rPr>
        <w:t>Management support required: KOL Advisory Board requires a formal letter of appointment and a modest honorarium budget. The CEO's signature on the appointment letter is critical for KOL acceptance.</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2-3 minutes</w:t>
      </w:r>
    </w:p>
    <w:p>
      <w:pPr>
        <w:pStyle w:val="ListBullet"/>
        <w:spacing w:after="60"/>
      </w:pPr>
      <w:r>
        <w:rPr>
          <w:rFonts w:ascii="Times New Roman" w:hAnsi="Times New Roman"/>
          <w:color w:val="000000"/>
          <w:sz w:val="24"/>
        </w:rPr>
        <w:t>KOL names should be proposed before the Phase 3 kick-off — ask sales and clinical teams for nominations</w:t>
      </w:r>
    </w:p>
    <w:p>
      <w:pPr>
        <w:pStyle w:val="ListBullet"/>
        <w:spacing w:after="60"/>
      </w:pPr>
      <w:r>
        <w:rPr>
          <w:rFonts w:ascii="Times New Roman" w:hAnsi="Times New Roman"/>
          <w:color w:val="000000"/>
          <w:sz w:val="24"/>
        </w:rPr>
        <w:t>The ROSA Champion programme is not public — it is an exclusive, by-invitation advisory structure</w:t>
      </w:r>
    </w:p>
    <w:p/>
    <w:p>
      <w:pPr>
        <w:spacing w:before="360" w:after="40"/>
      </w:pPr>
      <w:r>
        <w:rPr>
          <w:rFonts w:ascii="Times New Roman" w:hAnsi="Times New Roman"/>
          <w:b/>
          <w:color w:val="003366"/>
          <w:sz w:val="28"/>
        </w:rPr>
        <w:t>Slide 8  |  Phase 4 (Days 91-120)</w:t>
      </w:r>
    </w:p>
    <w:p>
      <w:pPr>
        <w:spacing w:after="120"/>
      </w:pPr>
      <w:r>
        <w:rPr>
          <w:rFonts w:ascii="Times New Roman" w:hAnsi="Times New Roman"/>
          <w:b/>
          <w:color w:val="F0A500"/>
          <w:sz w:val="24"/>
        </w:rPr>
        <w:t>ROSA + Implant Synergy</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Phase 4 formalises the ROSA OPTIMIZE programme — the clinical protocol that links ROSA's 90-landmark surgical data to implant selection, sizing, and positioning. This creates a data-driven pull-through: every ROSA case generates a recommendation for specific Zimmer Biomet implants.</w:t>
      </w:r>
    </w:p>
    <w:p>
      <w:pPr>
        <w:spacing w:after="120"/>
        <w:ind w:firstLine="0"/>
      </w:pPr>
      <w:r>
        <w:rPr>
          <w:rFonts w:ascii="Times New Roman" w:hAnsi="Times New Roman"/>
          <w:color w:val="000000"/>
          <w:sz w:val="24"/>
        </w:rPr>
        <w:t>Week 13 launches the standardised ROSA OPTIMIZE protocol with documentation kits for surgical teams. Week 14 establishes a bundled pricing framework with the approved hospital chains — this requires CFO and commercial approval, which should be obtained by Week 12. Week 15 delivers the first ROSA OPTIMIZE case documented with outcome data. Week 16 presents interim data to participating hospitals as a value demonstration.</w:t>
      </w:r>
    </w:p>
    <w:p>
      <w:pPr>
        <w:spacing w:after="120"/>
        <w:ind w:firstLine="0"/>
      </w:pPr>
      <w:r>
        <w:rPr>
          <w:rFonts w:ascii="Times New Roman" w:hAnsi="Times New Roman"/>
          <w:color w:val="000000"/>
          <w:sz w:val="24"/>
        </w:rPr>
        <w:t>Management support required: Bundled pricing approval from commercial leadership. The protocol without pricing flexibility will not convert hospital administrators.</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2-3 minutes</w:t>
      </w:r>
    </w:p>
    <w:p>
      <w:pPr>
        <w:pStyle w:val="ListBullet"/>
        <w:spacing w:after="60"/>
      </w:pPr>
      <w:r>
        <w:rPr>
          <w:rFonts w:ascii="Times New Roman" w:hAnsi="Times New Roman"/>
          <w:color w:val="000000"/>
          <w:sz w:val="24"/>
        </w:rPr>
        <w:t>The bundled pricing request is often the longest internal approval — start the process at Phase 1, not Phase 4</w:t>
      </w:r>
    </w:p>
    <w:p>
      <w:pPr>
        <w:pStyle w:val="ListBullet"/>
        <w:spacing w:after="60"/>
      </w:pPr>
      <w:r>
        <w:rPr>
          <w:rFonts w:ascii="Times New Roman" w:hAnsi="Times New Roman"/>
          <w:color w:val="000000"/>
          <w:sz w:val="24"/>
        </w:rPr>
        <w:t>ROSA OPTIMIZE outcome data should be presented in the hospital's own KPI language: patient throughput, LOS reduction, revision rate</w:t>
      </w:r>
    </w:p>
    <w:p/>
    <w:p>
      <w:pPr>
        <w:spacing w:before="360" w:after="40"/>
      </w:pPr>
      <w:r>
        <w:rPr>
          <w:rFonts w:ascii="Times New Roman" w:hAnsi="Times New Roman"/>
          <w:b/>
          <w:color w:val="003366"/>
          <w:sz w:val="28"/>
        </w:rPr>
        <w:t>Slide 9  |  Phase 5 (Days 121-150)</w:t>
      </w:r>
    </w:p>
    <w:p>
      <w:pPr>
        <w:spacing w:after="120"/>
      </w:pPr>
      <w:r>
        <w:rPr>
          <w:rFonts w:ascii="Times New Roman" w:hAnsi="Times New Roman"/>
          <w:b/>
          <w:color w:val="F0A500"/>
          <w:sz w:val="24"/>
        </w:rPr>
        <w:t>Market Expansion &amp; Volume Growth</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Phase 5 expands the footprint. With the corporate hospital framework established in Phases 2-4, Phase 5 applies the model to Tier-2 cities: Jaipur, Chandigarh, Coimbatore, and Kochi are the initial targets. New distributor and sub-dealer appointments are formalised in Week 17.</w:t>
      </w:r>
    </w:p>
    <w:p>
      <w:pPr>
        <w:spacing w:after="120"/>
        <w:ind w:firstLine="0"/>
      </w:pPr>
      <w:r>
        <w:rPr>
          <w:rFonts w:ascii="Times New Roman" w:hAnsi="Times New Roman"/>
          <w:color w:val="000000"/>
          <w:sz w:val="24"/>
        </w:rPr>
        <w:t>Week 18 launches a regional ROSA roadshow targeting orthopaedic surgeons in Tier-2 cities. Week 19 delivers the first Tier-2 ROSA case. Week 20 presents a 90-day outcome report to all corporate hospital partners — this consolidates the clinical data and creates a reference case for further expansion.</w:t>
      </w:r>
    </w:p>
    <w:p>
      <w:pPr>
        <w:spacing w:after="120"/>
        <w:ind w:firstLine="0"/>
      </w:pPr>
      <w:r>
        <w:rPr>
          <w:rFonts w:ascii="Times New Roman" w:hAnsi="Times New Roman"/>
          <w:color w:val="000000"/>
          <w:sz w:val="24"/>
        </w:rPr>
        <w:t>The 90-day outcome report is a strategic asset: it becomes the evidence document for the next round of hospital negotiations and the basis for KOL publications.</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 minutes</w:t>
      </w:r>
    </w:p>
    <w:p>
      <w:pPr>
        <w:pStyle w:val="ListBullet"/>
        <w:spacing w:after="60"/>
      </w:pPr>
      <w:r>
        <w:rPr>
          <w:rFonts w:ascii="Times New Roman" w:hAnsi="Times New Roman"/>
          <w:color w:val="000000"/>
          <w:sz w:val="24"/>
        </w:rPr>
        <w:t>Tier-2 city selection should be validated with regional sales leadership — these are suggested targets based on market data</w:t>
      </w:r>
    </w:p>
    <w:p>
      <w:pPr>
        <w:pStyle w:val="ListBullet"/>
        <w:spacing w:after="60"/>
      </w:pPr>
      <w:r>
        <w:rPr>
          <w:rFonts w:ascii="Times New Roman" w:hAnsi="Times New Roman"/>
          <w:color w:val="000000"/>
          <w:sz w:val="24"/>
        </w:rPr>
        <w:t>The 90-day outcome report requires a clinical data collection system from Day 1 — ensure this is set up in Phase 1</w:t>
      </w:r>
    </w:p>
    <w:p/>
    <w:p>
      <w:pPr>
        <w:spacing w:before="360" w:after="40"/>
      </w:pPr>
      <w:r>
        <w:rPr>
          <w:rFonts w:ascii="Times New Roman" w:hAnsi="Times New Roman"/>
          <w:b/>
          <w:color w:val="003366"/>
          <w:sz w:val="28"/>
        </w:rPr>
        <w:t>Slide 10  |  Phase 6 (Days 151-180)</w:t>
      </w:r>
    </w:p>
    <w:p>
      <w:pPr>
        <w:spacing w:after="120"/>
      </w:pPr>
      <w:r>
        <w:rPr>
          <w:rFonts w:ascii="Times New Roman" w:hAnsi="Times New Roman"/>
          <w:b/>
          <w:color w:val="F0A500"/>
          <w:sz w:val="24"/>
        </w:rPr>
        <w:t>Consolidation &amp; Sustainable Growth</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Phase 6 converts momentum into structure. The goal is not to end at Day 180 — it is to make every gain self-sustaining and to have a fully institutionalised model that operates without consulting dependency.</w:t>
      </w:r>
    </w:p>
    <w:p>
      <w:pPr>
        <w:spacing w:after="120"/>
        <w:ind w:firstLine="0"/>
      </w:pPr>
      <w:r>
        <w:rPr>
          <w:rFonts w:ascii="Times New Roman" w:hAnsi="Times New Roman"/>
          <w:color w:val="000000"/>
          <w:sz w:val="24"/>
        </w:rPr>
        <w:t>Week 21 locks in multi-year supply contracts with Apollo, Fortis, Max, and Manipal. Week 22 formalises the annual KOL symposium as a permanent programme in the Zimmer Biomet India calendar. Week 23 delivers the final 180-day outcome report with documented revenue impact. Week 24 presents the handover plan: internal teams are trained and structured to maintain the programme.</w:t>
      </w:r>
    </w:p>
    <w:p>
      <w:pPr>
        <w:spacing w:after="120"/>
        <w:ind w:firstLine="0"/>
      </w:pPr>
      <w:r>
        <w:rPr>
          <w:rFonts w:ascii="Times New Roman" w:hAnsi="Times New Roman"/>
          <w:color w:val="000000"/>
          <w:sz w:val="24"/>
        </w:rPr>
        <w:t>Key message to close with: 'At Day 180, Zimmer Biomet India will have a replicable, scalable model for corporate hospital penetration and ROSA-led revenue growth. This is not a one-time engagement — it is the foundation of a new market position.'</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2-3 minutes</w:t>
      </w:r>
    </w:p>
    <w:p>
      <w:pPr>
        <w:pStyle w:val="ListBullet"/>
        <w:spacing w:after="60"/>
      </w:pPr>
      <w:r>
        <w:rPr>
          <w:rFonts w:ascii="Times New Roman" w:hAnsi="Times New Roman"/>
          <w:color w:val="000000"/>
          <w:sz w:val="24"/>
        </w:rPr>
        <w:t>Emphasise the multi-year contracts — these are the structural revenue guarantees</w:t>
      </w:r>
    </w:p>
    <w:p>
      <w:pPr>
        <w:pStyle w:val="ListBullet"/>
        <w:spacing w:after="60"/>
      </w:pPr>
      <w:r>
        <w:rPr>
          <w:rFonts w:ascii="Times New Roman" w:hAnsi="Times New Roman"/>
          <w:color w:val="000000"/>
          <w:sz w:val="24"/>
        </w:rPr>
        <w:t>The handover plan should name specific internal roles and responsibilities</w:t>
      </w:r>
    </w:p>
    <w:p/>
    <w:p>
      <w:pPr>
        <w:spacing w:before="360" w:after="40"/>
      </w:pPr>
      <w:r>
        <w:rPr>
          <w:rFonts w:ascii="Times New Roman" w:hAnsi="Times New Roman"/>
          <w:b/>
          <w:color w:val="003366"/>
          <w:sz w:val="28"/>
        </w:rPr>
        <w:t>Slide 11  |  ROSA vs. MAKO Objection Handling</w:t>
      </w:r>
    </w:p>
    <w:p>
      <w:pPr>
        <w:spacing w:after="120"/>
      </w:pPr>
      <w:r>
        <w:rPr>
          <w:rFonts w:ascii="Times New Roman" w:hAnsi="Times New Roman"/>
          <w:b/>
          <w:color w:val="F0A500"/>
          <w:sz w:val="24"/>
        </w:rPr>
        <w:t>Why 90-Landmark Precision Outperforms 36-Landmark Mapping</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This is the competitive slide. Use it when hospital decision-makers or surgeons raise MAKO as the incumbent. The core clinical argument: ROSA Knee uses 90 bone landmark points for surgical mapping versus MAKO's 36. This is not a marginal difference — it is 2.5 times more anatomical reference data per case.</w:t>
      </w:r>
    </w:p>
    <w:p>
      <w:pPr>
        <w:spacing w:after="120"/>
        <w:ind w:firstLine="0"/>
      </w:pPr>
      <w:r>
        <w:rPr>
          <w:rFonts w:ascii="Times New Roman" w:hAnsi="Times New Roman"/>
          <w:color w:val="000000"/>
          <w:sz w:val="24"/>
        </w:rPr>
        <w:t>Walk through the five ROSA advantages: (1) 90-point mapping — superior precision for complex anatomy. (2) Full portfolio compatibility — Persona IQ, Persona, Nexgen; surgeon retains implant choice. (3) ROSA OPTIMIZE — real-time data linked to implant sizing. (4) Open platform — lower hospital infrastructure cost. (5) Global clinical evidence base.</w:t>
      </w:r>
    </w:p>
    <w:p>
      <w:pPr>
        <w:spacing w:after="120"/>
        <w:ind w:firstLine="0"/>
      </w:pPr>
      <w:r>
        <w:rPr>
          <w:rFonts w:ascii="Times New Roman" w:hAnsi="Times New Roman"/>
          <w:color w:val="000000"/>
          <w:sz w:val="24"/>
        </w:rPr>
        <w:t>Then address MAKO's limitations: locked to Stryker Triathlon implant, CT-dependent planning adds radiation exposure and cost, high capital cost, and vendor lock-in risk.</w:t>
      </w:r>
    </w:p>
    <w:p>
      <w:pPr>
        <w:spacing w:after="120"/>
        <w:ind w:firstLine="0"/>
      </w:pPr>
      <w:r>
        <w:rPr>
          <w:rFonts w:ascii="Times New Roman" w:hAnsi="Times New Roman"/>
          <w:color w:val="000000"/>
          <w:sz w:val="24"/>
        </w:rPr>
        <w:t>Close with the key message: 'ROSA delivers 2.5 times more precision landmarks, full implant portfolio freedom, and a lower total cost of ownership. For a hospital administrator, that is a superior clinical and commercial choice.'</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3 minutes</w:t>
      </w:r>
    </w:p>
    <w:p>
      <w:pPr>
        <w:pStyle w:val="ListBullet"/>
        <w:spacing w:after="60"/>
      </w:pPr>
      <w:r>
        <w:rPr>
          <w:rFonts w:ascii="Times New Roman" w:hAnsi="Times New Roman"/>
          <w:color w:val="000000"/>
          <w:sz w:val="24"/>
        </w:rPr>
        <w:t>Rehearse the 90 vs. 36 landmark comparison — this is the single most impactful data point</w:t>
      </w:r>
    </w:p>
    <w:p>
      <w:pPr>
        <w:pStyle w:val="ListBullet"/>
        <w:spacing w:after="60"/>
      </w:pPr>
      <w:r>
        <w:rPr>
          <w:rFonts w:ascii="Times New Roman" w:hAnsi="Times New Roman"/>
          <w:color w:val="000000"/>
          <w:sz w:val="24"/>
        </w:rPr>
        <w:t>Do not attack Stryker directly — frame MAKO's limitations as hospital risk factors, not competitive attacks</w:t>
      </w:r>
    </w:p>
    <w:p>
      <w:pPr>
        <w:pStyle w:val="ListBullet"/>
        <w:spacing w:after="60"/>
      </w:pPr>
      <w:r>
        <w:rPr>
          <w:rFonts w:ascii="Times New Roman" w:hAnsi="Times New Roman"/>
          <w:color w:val="000000"/>
          <w:sz w:val="24"/>
        </w:rPr>
        <w:t>The open-platform argument resonates strongly with hospital CFOs and COOs — use it when presenting to administrators</w:t>
      </w:r>
    </w:p>
    <w:p/>
    <w:p>
      <w:pPr>
        <w:spacing w:before="360" w:after="40"/>
      </w:pPr>
      <w:r>
        <w:rPr>
          <w:rFonts w:ascii="Times New Roman" w:hAnsi="Times New Roman"/>
          <w:b/>
          <w:color w:val="003366"/>
          <w:sz w:val="28"/>
        </w:rPr>
        <w:t>Slide 12  |  ROSA + Implant Synergy</w:t>
      </w:r>
    </w:p>
    <w:p>
      <w:pPr>
        <w:spacing w:after="120"/>
      </w:pPr>
      <w:r>
        <w:rPr>
          <w:rFonts w:ascii="Times New Roman" w:hAnsi="Times New Roman"/>
          <w:b/>
          <w:color w:val="F0A500"/>
          <w:sz w:val="24"/>
        </w:rPr>
        <w:t>How Robotic Precision Drives Implant Pull-Through</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This slide explains the business model rationale for ROSA investment. ROSA is not a standalone device — it is a pull-through engine. Every ROSA case generates anatomy-specific data that recommends the optimal Zimmer Biomet implant. This creates a clinical reason to choose our implant that is independent of sales relationships.</w:t>
      </w:r>
    </w:p>
    <w:p>
      <w:pPr>
        <w:spacing w:after="120"/>
        <w:ind w:firstLine="0"/>
      </w:pPr>
      <w:r>
        <w:rPr>
          <w:rFonts w:ascii="Times New Roman" w:hAnsi="Times New Roman"/>
          <w:color w:val="000000"/>
          <w:sz w:val="24"/>
        </w:rPr>
        <w:t>The synergy model: ROSA's 90-landmark mapping generates patient-specific anatomy data that drives implant selection. This is the ROSA OPTIMIZE protocol in action. Reproducible outcomes build surgeon confidence, which increases repeat cases, which increases implant revenue. The data flywheel: each ROSA case adds to the outcomes database, strengthening the evidence base for the next hospital negotiation.</w:t>
      </w:r>
    </w:p>
    <w:p>
      <w:pPr>
        <w:spacing w:after="120"/>
        <w:ind w:firstLine="0"/>
      </w:pPr>
      <w:r>
        <w:rPr>
          <w:rFonts w:ascii="Times New Roman" w:hAnsi="Times New Roman"/>
          <w:color w:val="000000"/>
          <w:sz w:val="24"/>
        </w:rPr>
        <w:t>Quantify the opportunity: a single ROSA placement averaging 2 cases per week generates approximately Rs. 18 lakh per year in implant pull-through revenue at current ASP. Nine underutilised robots represent Rs. 1.6 crore in annual recoverable revenue.</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2-3 minutes</w:t>
      </w:r>
    </w:p>
    <w:p>
      <w:pPr>
        <w:pStyle w:val="ListBullet"/>
        <w:spacing w:after="60"/>
      </w:pPr>
      <w:r>
        <w:rPr>
          <w:rFonts w:ascii="Times New Roman" w:hAnsi="Times New Roman"/>
          <w:color w:val="000000"/>
          <w:sz w:val="24"/>
        </w:rPr>
        <w:t>The Rs. 1.6 crore recoverable revenue figure is based on 9 underutilised robots — confirm current count with sales operations before presenting</w:t>
      </w:r>
    </w:p>
    <w:p>
      <w:pPr>
        <w:pStyle w:val="ListBullet"/>
        <w:spacing w:after="60"/>
      </w:pPr>
      <w:r>
        <w:rPr>
          <w:rFonts w:ascii="Times New Roman" w:hAnsi="Times New Roman"/>
          <w:color w:val="000000"/>
          <w:sz w:val="24"/>
        </w:rPr>
        <w:t>The data flywheel concept resonates with KOLs and hospital CMOs — use it in both contexts</w:t>
      </w:r>
    </w:p>
    <w:p/>
    <w:p>
      <w:pPr>
        <w:spacing w:before="360" w:after="40"/>
      </w:pPr>
      <w:r>
        <w:rPr>
          <w:rFonts w:ascii="Times New Roman" w:hAnsi="Times New Roman"/>
          <w:b/>
          <w:color w:val="003366"/>
          <w:sz w:val="28"/>
        </w:rPr>
        <w:t>Slide 13  |  KPI Tracker</w:t>
      </w:r>
    </w:p>
    <w:p>
      <w:pPr>
        <w:spacing w:after="120"/>
      </w:pPr>
      <w:r>
        <w:rPr>
          <w:rFonts w:ascii="Times New Roman" w:hAnsi="Times New Roman"/>
          <w:b/>
          <w:color w:val="F0A500"/>
          <w:sz w:val="24"/>
        </w:rPr>
        <w:t>180-Day KPI Dashboard</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This slide makes the programme accountable. Five primary KPIs are tracked across the 180 days: (1) Revenue growth target of +35% vs. Day 0 baseline. (2) Four corporate chains onboarded — Apollo, Fortis, Max, Manipal. (3) ROSA monthly case volume up by 40%. (4) KOL Advisory Board established with 5 named champions. (5) Tier-2 new distributor appointments.</w:t>
      </w:r>
    </w:p>
    <w:p>
      <w:pPr>
        <w:spacing w:after="120"/>
        <w:ind w:firstLine="0"/>
      </w:pPr>
      <w:r>
        <w:rPr>
          <w:rFonts w:ascii="Times New Roman" w:hAnsi="Times New Roman"/>
          <w:color w:val="000000"/>
          <w:sz w:val="24"/>
        </w:rPr>
        <w:t>The tracking cadence: weekly field check-ins, monthly leadership reviews, 90-day and 180-day formal reporting. The dashboard is live from Day 1 — not retrospective.</w:t>
      </w:r>
    </w:p>
    <w:p>
      <w:pPr>
        <w:spacing w:after="120"/>
        <w:ind w:firstLine="0"/>
      </w:pPr>
      <w:r>
        <w:rPr>
          <w:rFonts w:ascii="Times New Roman" w:hAnsi="Times New Roman"/>
          <w:color w:val="000000"/>
          <w:sz w:val="24"/>
        </w:rPr>
        <w:t>Management ask on this slide: 'We need a shared data platform — the current reporting structure does not give real-time visibility into ROSA case volume by territory. Can we commit to a CRM integration by Week 4?'</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 minutes</w:t>
      </w:r>
    </w:p>
    <w:p>
      <w:pPr>
        <w:pStyle w:val="ListBullet"/>
        <w:spacing w:after="60"/>
      </w:pPr>
      <w:r>
        <w:rPr>
          <w:rFonts w:ascii="Times New Roman" w:hAnsi="Times New Roman"/>
          <w:color w:val="000000"/>
          <w:sz w:val="24"/>
        </w:rPr>
        <w:t>Do not present this as a monitoring tool — present it as an accountability structure that benefits the CEO's visibility</w:t>
      </w:r>
    </w:p>
    <w:p>
      <w:pPr>
        <w:pStyle w:val="ListBullet"/>
        <w:spacing w:after="60"/>
      </w:pPr>
      <w:r>
        <w:rPr>
          <w:rFonts w:ascii="Times New Roman" w:hAnsi="Times New Roman"/>
          <w:color w:val="000000"/>
          <w:sz w:val="24"/>
        </w:rPr>
        <w:t>The CRM integration request is important — flag it as a Day 1 priority, not a later improvement</w:t>
      </w:r>
    </w:p>
    <w:p/>
    <w:p>
      <w:pPr>
        <w:spacing w:before="360" w:after="40"/>
      </w:pPr>
      <w:r>
        <w:rPr>
          <w:rFonts w:ascii="Times New Roman" w:hAnsi="Times New Roman"/>
          <w:b/>
          <w:color w:val="003366"/>
          <w:sz w:val="28"/>
        </w:rPr>
        <w:t>Slide 14  |  Corporate Hospital Strategy</w:t>
      </w:r>
    </w:p>
    <w:p>
      <w:pPr>
        <w:spacing w:after="120"/>
      </w:pPr>
      <w:r>
        <w:rPr>
          <w:rFonts w:ascii="Times New Roman" w:hAnsi="Times New Roman"/>
          <w:b/>
          <w:color w:val="F0A500"/>
          <w:sz w:val="24"/>
        </w:rPr>
        <w:t>Structured Entry into Apollo, Fortis, Max &amp; Manipal</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Each of the four hospital chains requires a tailored entry strategy. Apollo: entry via Apollo Spectra and Apollo Proton flagship sites; KOL is a senior orthopaedic faculty member at Apollo Hospitals Hyderabad or Chennai. Fortis: existing ZB relationships at Fortis Gurugram; build from there to Fortis Noida and Fortis Kolkata. Max: Max Saket Delhi is the primary entry point; strong orthopaedic department with active surgical volume. Manipal: Manipal Whitefield Bangalore is the flagship; leverage existing implant relationships to introduce ROSA.</w:t>
      </w:r>
    </w:p>
    <w:p>
      <w:pPr>
        <w:spacing w:after="120"/>
        <w:ind w:firstLine="0"/>
      </w:pPr>
      <w:r>
        <w:rPr>
          <w:rFonts w:ascii="Times New Roman" w:hAnsi="Times New Roman"/>
          <w:color w:val="000000"/>
          <w:sz w:val="24"/>
        </w:rPr>
        <w:t>The entry framework for each chain: (1) CEO introduction to CMO. (2) Clinical presentation with KOL. (3) ROSA live case or structured demonstration. (4) LOI signing. (5) Bundled pricing agreement. This five-step process is standardised across all four chains but the relationships and KOLs are customised per chain.</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3 minutes</w:t>
      </w:r>
    </w:p>
    <w:p>
      <w:pPr>
        <w:pStyle w:val="ListBullet"/>
        <w:spacing w:after="60"/>
      </w:pPr>
      <w:r>
        <w:rPr>
          <w:rFonts w:ascii="Times New Roman" w:hAnsi="Times New Roman"/>
          <w:color w:val="000000"/>
          <w:sz w:val="24"/>
        </w:rPr>
        <w:t>Hospital names should be confirmed with sales leadership before presentation — entry points may have been updated</w:t>
      </w:r>
    </w:p>
    <w:p>
      <w:pPr>
        <w:pStyle w:val="ListBullet"/>
        <w:spacing w:after="60"/>
      </w:pPr>
      <w:r>
        <w:rPr>
          <w:rFonts w:ascii="Times New Roman" w:hAnsi="Times New Roman"/>
          <w:color w:val="000000"/>
          <w:sz w:val="24"/>
        </w:rPr>
        <w:t>The five-step framework is the repeatability engine — stress that this model can be applied to additional chains post-Day 180</w:t>
      </w:r>
    </w:p>
    <w:p/>
    <w:p>
      <w:pPr>
        <w:spacing w:before="360" w:after="40"/>
      </w:pPr>
      <w:r>
        <w:rPr>
          <w:rFonts w:ascii="Times New Roman" w:hAnsi="Times New Roman"/>
          <w:b/>
          <w:color w:val="003366"/>
          <w:sz w:val="28"/>
        </w:rPr>
        <w:t>Slide 15  |  Risk Register</w:t>
      </w:r>
    </w:p>
    <w:p>
      <w:pPr>
        <w:spacing w:after="120"/>
      </w:pPr>
      <w:r>
        <w:rPr>
          <w:rFonts w:ascii="Times New Roman" w:hAnsi="Times New Roman"/>
          <w:b/>
          <w:color w:val="F0A500"/>
          <w:sz w:val="24"/>
        </w:rPr>
        <w:t>Key Risks and Mitigation Actions</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Five primary risks are tracked in the programme: (1) Corporate chains delay LOI or procurement decisions — mitigation is CEO-level relationship engagement in Weeks 5-6. (2) Sales team resistance to new protocols — mitigation is incentive realignment tied to ROSA case volume in the commission structure. (3) KOL advisory board nomination stalls — mitigation is a pre-agreed nomination shortlist from clinical leadership. (4) Bundled pricing approval delayed internally — mitigation is starting the approval process in Phase 1. (5) Competitive MAKO counter-offer at a target hospital — mitigation is the ROSA OPTIMIZE outcome data package deployed in Weeks 15-16.</w:t>
      </w:r>
    </w:p>
    <w:p>
      <w:pPr>
        <w:spacing w:after="120"/>
        <w:ind w:firstLine="0"/>
      </w:pPr>
      <w:r>
        <w:rPr>
          <w:rFonts w:ascii="Times New Roman" w:hAnsi="Times New Roman"/>
          <w:color w:val="000000"/>
          <w:sz w:val="24"/>
        </w:rPr>
        <w:t>Risk management is not defensive — it is structured acceleration. Each mitigation action has an owner and a deadline.</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 minutes</w:t>
      </w:r>
    </w:p>
    <w:p>
      <w:pPr>
        <w:pStyle w:val="ListBullet"/>
        <w:spacing w:after="60"/>
      </w:pPr>
      <w:r>
        <w:rPr>
          <w:rFonts w:ascii="Times New Roman" w:hAnsi="Times New Roman"/>
          <w:color w:val="000000"/>
          <w:sz w:val="24"/>
        </w:rPr>
        <w:t>Present this slide proactively — CEOs value that risks are pre-identified and owned</w:t>
      </w:r>
    </w:p>
    <w:p>
      <w:pPr>
        <w:pStyle w:val="ListBullet"/>
        <w:spacing w:after="60"/>
      </w:pPr>
      <w:r>
        <w:rPr>
          <w:rFonts w:ascii="Times New Roman" w:hAnsi="Times New Roman"/>
          <w:color w:val="000000"/>
          <w:sz w:val="24"/>
        </w:rPr>
        <w:t>Do not dwell on likelihood scores — move to mitigation actions quickly</w:t>
      </w:r>
    </w:p>
    <w:p/>
    <w:p>
      <w:pPr>
        <w:spacing w:before="360" w:after="40"/>
      </w:pPr>
      <w:r>
        <w:rPr>
          <w:rFonts w:ascii="Times New Roman" w:hAnsi="Times New Roman"/>
          <w:b/>
          <w:color w:val="003366"/>
          <w:sz w:val="28"/>
        </w:rPr>
        <w:t>Slide 16  |  Governance Framework</w:t>
      </w:r>
    </w:p>
    <w:p>
      <w:pPr>
        <w:spacing w:after="120"/>
      </w:pPr>
      <w:r>
        <w:rPr>
          <w:rFonts w:ascii="Times New Roman" w:hAnsi="Times New Roman"/>
          <w:b/>
          <w:color w:val="F0A500"/>
          <w:sz w:val="24"/>
        </w:rPr>
        <w:t>Structured Oversight and Accountability</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The governance structure has three cadences: weekly field check-ins driven by regional sales managers, monthly steering committee reviews chaired by the Country Head, and 90-day and 180-day formal reporting to the CEO.</w:t>
      </w:r>
    </w:p>
    <w:p>
      <w:pPr>
        <w:spacing w:after="120"/>
        <w:ind w:firstLine="0"/>
      </w:pPr>
      <w:r>
        <w:rPr>
          <w:rFonts w:ascii="Times New Roman" w:hAnsi="Times New Roman"/>
          <w:color w:val="000000"/>
          <w:sz w:val="24"/>
        </w:rPr>
        <w:t>The programme office sits with ADGcatalyst as independent programme manager. This ensures no internal political barriers to escalation. The CEO receives a monthly executive summary — not a data dump, but a one-page status: green/amber/red by phase, headline KPI movement, and one decision required.</w:t>
      </w:r>
    </w:p>
    <w:p>
      <w:pPr>
        <w:spacing w:after="120"/>
        <w:ind w:firstLine="0"/>
      </w:pPr>
      <w:r>
        <w:rPr>
          <w:rFonts w:ascii="Times New Roman" w:hAnsi="Times New Roman"/>
          <w:color w:val="000000"/>
          <w:sz w:val="24"/>
        </w:rPr>
        <w:t>Management ask: 'We need one internal programme champion from ZB India — ideally a commercial director or senior sales head — to co-own the weekly cadence with the consulting team.'</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 minutes</w:t>
      </w:r>
    </w:p>
    <w:p>
      <w:pPr>
        <w:pStyle w:val="ListBullet"/>
        <w:spacing w:after="60"/>
      </w:pPr>
      <w:r>
        <w:rPr>
          <w:rFonts w:ascii="Times New Roman" w:hAnsi="Times New Roman"/>
          <w:color w:val="000000"/>
          <w:sz w:val="24"/>
        </w:rPr>
        <w:t>The internal champion nomination should happen at Day 1 — add it to the CTA slide asks</w:t>
      </w:r>
    </w:p>
    <w:p>
      <w:pPr>
        <w:pStyle w:val="ListBullet"/>
        <w:spacing w:after="60"/>
      </w:pPr>
      <w:r>
        <w:rPr>
          <w:rFonts w:ascii="Times New Roman" w:hAnsi="Times New Roman"/>
          <w:color w:val="000000"/>
          <w:sz w:val="24"/>
        </w:rPr>
        <w:t>Monthly one-page executive summary template can be shared with the CEO today if requested</w:t>
      </w:r>
    </w:p>
    <w:p/>
    <w:p>
      <w:pPr>
        <w:spacing w:before="360" w:after="40"/>
      </w:pPr>
      <w:r>
        <w:rPr>
          <w:rFonts w:ascii="Times New Roman" w:hAnsi="Times New Roman"/>
          <w:b/>
          <w:color w:val="003366"/>
          <w:sz w:val="28"/>
        </w:rPr>
        <w:t>Slide 17  |  Expected Outcomes</w:t>
      </w:r>
    </w:p>
    <w:p>
      <w:pPr>
        <w:spacing w:after="120"/>
      </w:pPr>
      <w:r>
        <w:rPr>
          <w:rFonts w:ascii="Times New Roman" w:hAnsi="Times New Roman"/>
          <w:b/>
          <w:color w:val="F0A500"/>
          <w:sz w:val="24"/>
        </w:rPr>
        <w:t>Projected Impact at 90-Day and 180-Day Milestones</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The headline numbers: +35% overall revenue growth in knee implants by Day 180 vs. Day 0 baseline. +40% ROSA monthly case volume. Four corporate chains onboarded with active LOIs. Five KOL champions formally appointed. ROSA OPTIMIZE protocol running in at least three hospital accounts.</w:t>
      </w:r>
    </w:p>
    <w:p>
      <w:pPr>
        <w:spacing w:after="120"/>
        <w:ind w:firstLine="0"/>
      </w:pPr>
      <w:r>
        <w:rPr>
          <w:rFonts w:ascii="Times New Roman" w:hAnsi="Times New Roman"/>
          <w:color w:val="000000"/>
          <w:sz w:val="24"/>
        </w:rPr>
        <w:t>At 90 days: interim targets are +15% revenue, two corporate chain LOIs, three KOL champions identified, ROSA OPTIMIZE pilot running in one account.</w:t>
      </w:r>
    </w:p>
    <w:p>
      <w:pPr>
        <w:spacing w:after="120"/>
        <w:ind w:firstLine="0"/>
      </w:pPr>
      <w:r>
        <w:rPr>
          <w:rFonts w:ascii="Times New Roman" w:hAnsi="Times New Roman"/>
          <w:color w:val="000000"/>
          <w:sz w:val="24"/>
        </w:rPr>
        <w:t>These are conservative targets based on comparable market access programmes in India medtech. The upper bound — if CEO introductions are made in Weeks 5-6 and bundled pricing is approved by Week 12 — is a 50% revenue uplift and six corporate chain engagements by Day 180.</w:t>
      </w:r>
    </w:p>
    <w:p>
      <w:pPr>
        <w:spacing w:after="120"/>
        <w:ind w:firstLine="0"/>
      </w:pPr>
      <w:r>
        <w:rPr>
          <w:rFonts w:ascii="Times New Roman" w:hAnsi="Times New Roman"/>
          <w:color w:val="000000"/>
          <w:sz w:val="24"/>
        </w:rPr>
        <w:t>Close this slide: 'These numbers are achievable. The only variable is speed of internal decision-making.'</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2-3 minutes</w:t>
      </w:r>
    </w:p>
    <w:p>
      <w:pPr>
        <w:pStyle w:val="ListBullet"/>
        <w:spacing w:after="60"/>
      </w:pPr>
      <w:r>
        <w:rPr>
          <w:rFonts w:ascii="Times New Roman" w:hAnsi="Times New Roman"/>
          <w:color w:val="000000"/>
          <w:sz w:val="24"/>
        </w:rPr>
        <w:t>The +35% and +40% targets should be validated against the ZB India baseline before final presentation</w:t>
      </w:r>
    </w:p>
    <w:p>
      <w:pPr>
        <w:pStyle w:val="ListBullet"/>
        <w:spacing w:after="60"/>
      </w:pPr>
      <w:r>
        <w:rPr>
          <w:rFonts w:ascii="Times New Roman" w:hAnsi="Times New Roman"/>
          <w:color w:val="000000"/>
          <w:sz w:val="24"/>
        </w:rPr>
        <w:t>The upper-bound scenario is a powerful motivator — present it as the 'what if we move fast' scenario</w:t>
      </w:r>
    </w:p>
    <w:p/>
    <w:p>
      <w:pPr>
        <w:spacing w:before="360" w:after="40"/>
      </w:pPr>
      <w:r>
        <w:rPr>
          <w:rFonts w:ascii="Times New Roman" w:hAnsi="Times New Roman"/>
          <w:b/>
          <w:color w:val="003366"/>
          <w:sz w:val="28"/>
        </w:rPr>
        <w:t>Slide 18  |  Call to Action</w:t>
      </w:r>
    </w:p>
    <w:p>
      <w:pPr>
        <w:spacing w:after="120"/>
      </w:pPr>
      <w:r>
        <w:rPr>
          <w:rFonts w:ascii="Times New Roman" w:hAnsi="Times New Roman"/>
          <w:b/>
          <w:color w:val="F0A500"/>
          <w:sz w:val="24"/>
        </w:rPr>
        <w:t>Three Decisions Required from the CEO</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This is the closing ask. Three decisions required from the CEO to launch the 180-day programme:</w:t>
      </w:r>
    </w:p>
    <w:p>
      <w:pPr>
        <w:spacing w:after="120"/>
        <w:ind w:firstLine="0"/>
      </w:pPr>
      <w:r>
        <w:rPr>
          <w:rFonts w:ascii="Times New Roman" w:hAnsi="Times New Roman"/>
          <w:color w:val="000000"/>
          <w:sz w:val="24"/>
        </w:rPr>
        <w:t>Decision 1: Approve programme launch — Day 1. This authorises the 180-day engagement and nominates the internal programme sponsor.</w:t>
      </w:r>
    </w:p>
    <w:p>
      <w:pPr>
        <w:spacing w:after="120"/>
        <w:ind w:firstLine="0"/>
      </w:pPr>
      <w:r>
        <w:rPr>
          <w:rFonts w:ascii="Times New Roman" w:hAnsi="Times New Roman"/>
          <w:color w:val="000000"/>
          <w:sz w:val="24"/>
        </w:rPr>
        <w:t>Decision 2: Commit CEO attendance at the National Salesforce Training Kick-off Meeting in Week 1. Without CEO visibility, the cultural message is incomplete.</w:t>
      </w:r>
    </w:p>
    <w:p>
      <w:pPr>
        <w:spacing w:after="120"/>
        <w:ind w:firstLine="0"/>
      </w:pPr>
      <w:r>
        <w:rPr>
          <w:rFonts w:ascii="Times New Roman" w:hAnsi="Times New Roman"/>
          <w:color w:val="000000"/>
          <w:sz w:val="24"/>
        </w:rPr>
        <w:t>Decision 3: Authorise budget for Phase 1 and 2 activities — this includes the KOL honorarium, corporate access facilitation, and ROSA OPTIMIZE documentation kits.</w:t>
      </w:r>
    </w:p>
    <w:p>
      <w:pPr>
        <w:spacing w:after="120"/>
        <w:ind w:firstLine="0"/>
      </w:pPr>
      <w:r>
        <w:rPr>
          <w:rFonts w:ascii="Times New Roman" w:hAnsi="Times New Roman"/>
          <w:color w:val="000000"/>
          <w:sz w:val="24"/>
        </w:rPr>
        <w:t>One optional but high-impact ask: CEO introduction to CMOs at Apollo, Fortis, Max, and Manipal. This single action, if completed by Week 6, accelerates the entire programme by four to six weeks.</w:t>
      </w:r>
    </w:p>
    <w:p>
      <w:pPr>
        <w:spacing w:after="120"/>
        <w:ind w:firstLine="0"/>
      </w:pPr>
      <w:r>
        <w:rPr>
          <w:rFonts w:ascii="Times New Roman" w:hAnsi="Times New Roman"/>
          <w:color w:val="000000"/>
          <w:sz w:val="24"/>
        </w:rPr>
        <w:t>Close the presentation: 'We are ready to begin. The next step is yours.'</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2 minutes</w:t>
      </w:r>
    </w:p>
    <w:p>
      <w:pPr>
        <w:pStyle w:val="ListBullet"/>
        <w:spacing w:after="60"/>
      </w:pPr>
      <w:r>
        <w:rPr>
          <w:rFonts w:ascii="Times New Roman" w:hAnsi="Times New Roman"/>
          <w:color w:val="000000"/>
          <w:sz w:val="24"/>
        </w:rPr>
        <w:t>Do not negotiate the three decisions on the spot — ask for a decision by a specific date</w:t>
      </w:r>
    </w:p>
    <w:p>
      <w:pPr>
        <w:pStyle w:val="ListBullet"/>
        <w:spacing w:after="60"/>
      </w:pPr>
      <w:r>
        <w:rPr>
          <w:rFonts w:ascii="Times New Roman" w:hAnsi="Times New Roman"/>
          <w:color w:val="000000"/>
          <w:sz w:val="24"/>
        </w:rPr>
        <w:t>The programme budget range should be discussed privately with the CEO's office, not in the group presentation</w:t>
      </w:r>
    </w:p>
    <w:p/>
    <w:p>
      <w:pPr>
        <w:spacing w:before="360" w:after="40"/>
      </w:pPr>
      <w:r>
        <w:rPr>
          <w:rFonts w:ascii="Times New Roman" w:hAnsi="Times New Roman"/>
          <w:b/>
          <w:color w:val="003366"/>
          <w:sz w:val="28"/>
        </w:rPr>
        <w:t>Slide 19  |  References &amp; Evidence Base</w:t>
      </w:r>
    </w:p>
    <w:p>
      <w:pPr>
        <w:spacing w:after="120"/>
      </w:pPr>
      <w:r>
        <w:rPr>
          <w:rFonts w:ascii="Times New Roman" w:hAnsi="Times New Roman"/>
          <w:b/>
          <w:color w:val="F0A500"/>
          <w:sz w:val="24"/>
        </w:rPr>
        <w:t>Data Sources Supporting the Plan</w:t>
      </w:r>
    </w:p>
    <w:p>
      <w:pPr>
        <w:pBdr>
          <w:bottom w:val="single" w:sz="6" w:space="1" w:color="003366"/>
        </w:pBdr>
        <w:spacing w:after="120"/>
      </w:pPr>
    </w:p>
    <w:p>
      <w:pPr>
        <w:spacing w:before="200" w:after="120"/>
      </w:pPr>
      <w:r>
        <w:rPr>
          <w:rFonts w:ascii="Times New Roman" w:hAnsi="Times New Roman"/>
          <w:b/>
          <w:color w:val="003366"/>
          <w:sz w:val="26"/>
        </w:rPr>
        <w:t>Speaker Notes</w:t>
      </w:r>
    </w:p>
    <w:p>
      <w:pPr>
        <w:spacing w:after="120"/>
        <w:ind w:firstLine="0"/>
      </w:pPr>
      <w:r>
        <w:rPr>
          <w:rFonts w:ascii="Times New Roman" w:hAnsi="Times New Roman"/>
          <w:color w:val="000000"/>
          <w:sz w:val="24"/>
        </w:rPr>
        <w:t>Briefly acknowledge the evidence base. The plan is supported by GlobalData Healthcare market intelligence, Zimmer Biomet's own ROSA clinical evidence, India corporate hospital procurement benchmarks, and the ADGcatalyst field intelligence report based on 66 field entries across all Indian territories.</w:t>
      </w:r>
    </w:p>
    <w:p>
      <w:pPr>
        <w:spacing w:after="120"/>
        <w:ind w:firstLine="0"/>
      </w:pPr>
      <w:r>
        <w:rPr>
          <w:rFonts w:ascii="Times New Roman" w:hAnsi="Times New Roman"/>
          <w:color w:val="000000"/>
          <w:sz w:val="24"/>
        </w:rPr>
        <w:t>The internal data set — 66 entries, 27 variables, six territories — is the most valuable source: it represents the ground truth of what sales teams face daily. The analysis prioritised eight strategic actions from this data, all of which are built into the 180-day plan.</w:t>
      </w:r>
    </w:p>
    <w:p>
      <w:pPr>
        <w:spacing w:after="120"/>
        <w:ind w:firstLine="0"/>
      </w:pPr>
      <w:r>
        <w:rPr>
          <w:rFonts w:ascii="Times New Roman" w:hAnsi="Times New Roman"/>
          <w:color w:val="000000"/>
          <w:sz w:val="24"/>
        </w:rPr>
        <w:t>Offer to share the full analysis report: 'The detailed data analysis is available as a download from our project portal. I would welcome your team's review before we finalise the Phase 1 milestones.'</w:t>
      </w:r>
    </w:p>
    <w:p>
      <w:pPr>
        <w:spacing w:before="200" w:after="120"/>
      </w:pPr>
      <w:r>
        <w:rPr>
          <w:rFonts w:ascii="Times New Roman" w:hAnsi="Times New Roman"/>
          <w:b/>
          <w:color w:val="003366"/>
          <w:sz w:val="26"/>
        </w:rPr>
        <w:t>Presenter Tips</w:t>
      </w:r>
    </w:p>
    <w:p>
      <w:pPr>
        <w:pStyle w:val="ListBullet"/>
        <w:spacing w:after="60"/>
      </w:pPr>
      <w:r>
        <w:rPr>
          <w:rFonts w:ascii="Times New Roman" w:hAnsi="Times New Roman"/>
          <w:color w:val="000000"/>
          <w:sz w:val="24"/>
        </w:rPr>
        <w:t>Approximate speaking time: 1 minute</w:t>
      </w:r>
    </w:p>
    <w:p>
      <w:pPr>
        <w:pStyle w:val="ListBullet"/>
        <w:spacing w:after="60"/>
      </w:pPr>
      <w:r>
        <w:rPr>
          <w:rFonts w:ascii="Times New Roman" w:hAnsi="Times New Roman"/>
          <w:color w:val="000000"/>
          <w:sz w:val="24"/>
        </w:rPr>
        <w:t>The reference to the ZB India Sales Intelligence analysis adds credibility — have the analysis report ready to share</w:t>
      </w:r>
    </w:p>
    <w:p>
      <w:pPr>
        <w:pStyle w:val="ListBullet"/>
        <w:spacing w:after="60"/>
      </w:pPr>
      <w:r>
        <w:rPr>
          <w:rFonts w:ascii="Times New Roman" w:hAnsi="Times New Roman"/>
          <w:color w:val="000000"/>
          <w:sz w:val="24"/>
        </w:rPr>
        <w:t>Do not read out the reference list — use this slide as a closing credibility signal</w:t>
      </w:r>
    </w:p>
    <w:sectPr w:rsidR="00FC693F" w:rsidRPr="0006063C" w:rsidSect="00034616">
      <w:pgSz w:w="12240" w:h="15840"/>
      <w:pgMar w:top="1440" w:right="1728" w:bottom="1440" w:left="172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