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80"/>
        <w:jc w:val="center"/>
      </w:pPr>
      <w:r>
        <w:rPr>
          <w:rFonts w:ascii="Times New Roman" w:hAnsi="Times New Roman"/>
          <w:b/>
          <w:color w:val="F0A500"/>
          <w:sz w:val="22"/>
        </w:rPr>
        <w:t>ZIMMER BIOMET INDIA</w:t>
      </w:r>
    </w:p>
    <w:p>
      <w:pPr>
        <w:spacing w:after="120"/>
        <w:jc w:val="center"/>
      </w:pPr>
      <w:r>
        <w:rPr>
          <w:rFonts w:ascii="Times New Roman" w:hAnsi="Times New Roman"/>
          <w:b/>
          <w:color w:val="003366"/>
          <w:sz w:val="40"/>
        </w:rPr>
        <w:t>Unified Revenue Growth Strategy</w:t>
      </w:r>
    </w:p>
    <w:p>
      <w:pPr>
        <w:spacing w:after="80"/>
        <w:jc w:val="center"/>
      </w:pPr>
      <w:r>
        <w:rPr>
          <w:rFonts w:ascii="Times New Roman" w:hAnsi="Times New Roman"/>
          <w:color w:val="505050"/>
          <w:sz w:val="24"/>
        </w:rPr>
        <w:t>Implant + ROSA Synergy  |  5-Year Warranty (Promoted)  |  Bundled Offer Architecture</w:t>
      </w:r>
    </w:p>
    <w:p>
      <w:pPr>
        <w:spacing w:after="80"/>
        <w:jc w:val="center"/>
      </w:pPr>
      <w:r>
        <w:rPr>
          <w:rFonts w:ascii="Times New Roman" w:hAnsi="Times New Roman"/>
          <w:color w:val="505050"/>
          <w:sz w:val="24"/>
        </w:rPr>
        <w:t>Unified Marketing Team with GCC Partnership  |  Common Goals &amp; Incentive Structure</w:t>
      </w:r>
    </w:p>
    <w:p>
      <w:pPr>
        <w:spacing w:after="320"/>
        <w:jc w:val="center"/>
      </w:pPr>
      <w:r>
        <w:rPr>
          <w:rFonts w:ascii="Times New Roman" w:hAnsi="Times New Roman"/>
          <w:i/>
          <w:color w:val="505050"/>
          <w:sz w:val="22"/>
        </w:rPr>
        <w:t>Prepared for: Country Head, Zimmer Biomet India  |  September 2026</w:t>
      </w:r>
    </w:p>
    <w:p>
      <w:pPr>
        <w:spacing w:before="80" w:after="80"/>
        <w:pBdr>
          <w:bottom w:val="single" w:sz="4" w:space="1" w:color="F0A500"/>
        </w:pBdr>
      </w:pPr>
    </w:p>
    <w:p>
      <w:pPr>
        <w:spacing w:before="360" w:after="80" w:line="400" w:lineRule="exact"/>
        <w:pBdr>
          <w:bottom w:val="single" w:sz="8" w:space="2" w:color="003366"/>
        </w:pBdr>
      </w:pPr>
      <w:r>
        <w:rPr>
          <w:rFonts w:ascii="Times New Roman" w:hAnsi="Times New Roman"/>
          <w:b/>
          <w:color w:val="003366"/>
          <w:sz w:val="26"/>
        </w:rPr>
        <w:t>SECTION 1: PRIORITY ISSUES — WHAT THE EVIDENCE DEMANDS</w:t>
      </w:r>
    </w:p>
    <w:p>
      <w:pPr>
        <w:spacing w:after="160" w:before="0" w:line="360" w:lineRule="exact"/>
        <w:jc w:val="both"/>
      </w:pPr>
      <w:r>
        <w:rPr>
          <w:rFonts w:ascii="Times New Roman" w:hAnsi="Times New Roman"/>
          <w:color w:val="000000"/>
          <w:sz w:val="24"/>
        </w:rPr>
        <w:t>The analysis combines evidence from two sources: a structured field intelligence survey of 66 sales representatives across 8 territories (387 total problem mentions) and a Month 1 corporate strategy engagement report. Together, they reveal a single systemic failure — the absence of a unified, institution-facing commercial proposition for corporate hospital chains. The five priority issues below are ordered by the size of the revenue they constrain, not by how frequently they appear.</w:t>
      </w:r>
    </w:p>
    <w:p>
      <w:pPr>
        <w:spacing w:before="240" w:after="60" w:line="360" w:lineRule="exact"/>
      </w:pPr>
      <w:r>
        <w:rPr>
          <w:rFonts w:ascii="Times New Roman" w:hAnsi="Times New Roman"/>
          <w:b/>
          <w:color w:val="003366"/>
          <w:sz w:val="24"/>
        </w:rPr>
        <w:t>Priority Issue 1 — Implant and ROSA Teams Operating as Competitors, Not Partners</w:t>
      </w:r>
    </w:p>
    <w:p>
      <w:pPr>
        <w:spacing w:after="160" w:before="0" w:line="360" w:lineRule="exact"/>
        <w:jc w:val="both"/>
      </w:pPr>
      <w:r>
        <w:rPr>
          <w:rFonts w:ascii="Times New Roman" w:hAnsi="Times New Roman"/>
          <w:color w:val="000000"/>
          <w:sz w:val="24"/>
        </w:rPr>
        <w:t>Exactly 33 of 66 field entries — 50% of the entire survey — identify Implant and ROSA team misalignment as the single largest internal drag on revenue. Two teams from the same company are calling on the same hospital with separate targets, separate account plans and no shared commercial ownership. The hospital sees fragmentation where it expects one coherent partner. As the Month 1 report states directly: "nobody owns the total revenue of the account, so nobody can put a combined proposition on the table." This is an organisational design problem, not a motivation problem, and it is entirely within leadership's control to fix.</w:t>
      </w:r>
    </w:p>
    <w:p>
      <w:pPr>
        <w:spacing w:before="120" w:after="200" w:line="320" w:lineRule="exact"/>
        <w:ind w:left="360" w:right="360"/>
        <w:pBdr>
          <w:left w:val="single" w:sz="16" w:space="6" w:color="003366"/>
        </w:pBdr>
      </w:pPr>
      <w:r>
        <w:rPr>
          <w:rFonts w:ascii="Times New Roman" w:hAnsi="Times New Roman"/>
          <w:i/>
          <w:color w:val="003366"/>
          <w:sz w:val="24"/>
        </w:rPr>
        <w:t>Critical signal: 33/66 entries. No external budget required. Resolution is an internal decision that the Country Head can make this week.</w:t>
      </w:r>
    </w:p>
    <w:p>
      <w:pPr>
        <w:spacing w:before="240" w:after="60" w:line="360" w:lineRule="exact"/>
      </w:pPr>
      <w:r>
        <w:rPr>
          <w:rFonts w:ascii="Times New Roman" w:hAnsi="Times New Roman"/>
          <w:b/>
          <w:color w:val="003366"/>
          <w:sz w:val="24"/>
        </w:rPr>
        <w:t>Priority Issue 2 — ROSA Narrative Leadership Is Unclaimed</w:t>
      </w:r>
    </w:p>
    <w:p>
      <w:pPr>
        <w:spacing w:after="160" w:before="0" w:line="360" w:lineRule="exact"/>
        <w:jc w:val="both"/>
      </w:pPr>
      <w:r>
        <w:rPr>
          <w:rFonts w:ascii="Times New Roman" w:hAnsi="Times New Roman"/>
          <w:color w:val="000000"/>
          <w:sz w:val="24"/>
        </w:rPr>
        <w:t>44 of 66 entries flag the ROSA narrative as an active and time-sensitive opportunity. 35 reps are waiting for a structured, approved response to Stryker MAKO. The clinical case for ROSA Knee is defensible — 90 bone landmark points versus MAKO's 36 — but it is not being presented consistently. The comparison with Stryker is happening account by account, on Stryker's terms. The window before MAKO's narrative consolidates in India's corporate hospital procurement decisions is narrowing.</w:t>
      </w:r>
    </w:p>
    <w:p>
      <w:pPr>
        <w:spacing w:before="240" w:after="60" w:line="360" w:lineRule="exact"/>
      </w:pPr>
      <w:r>
        <w:rPr>
          <w:rFonts w:ascii="Times New Roman" w:hAnsi="Times New Roman"/>
          <w:b/>
          <w:color w:val="003366"/>
          <w:sz w:val="24"/>
        </w:rPr>
        <w:t>Priority Issue 3 — KOL and Institutional Access Are Both Blocked</w:t>
      </w:r>
    </w:p>
    <w:p>
      <w:pPr>
        <w:spacing w:after="160" w:before="0" w:line="360" w:lineRule="exact"/>
        <w:jc w:val="both"/>
      </w:pPr>
      <w:r>
        <w:rPr>
          <w:rFonts w:ascii="Times New Roman" w:hAnsi="Times New Roman"/>
          <w:color w:val="000000"/>
          <w:sz w:val="24"/>
        </w:rPr>
        <w:t>46 entries show that the hospital-level surgeon champion is unidentified or inactive in the majority of accounts. 21 entries flag the absence of a credible CMO or Medical Director relationship. In corporate chains, the surgeon does not sign the contract — the group office does. Without a route to the institutional decision-maker, surgeon-level wins fail to convert into chain-level preferred vendor status. This is the second most cited problem in the dataset.</w:t>
      </w:r>
    </w:p>
    <w:p>
      <w:pPr>
        <w:spacing w:before="240" w:after="60" w:line="360" w:lineRule="exact"/>
      </w:pPr>
      <w:r>
        <w:rPr>
          <w:rFonts w:ascii="Times New Roman" w:hAnsi="Times New Roman"/>
          <w:b/>
          <w:color w:val="003366"/>
          <w:sz w:val="24"/>
        </w:rPr>
        <w:t>Priority Issue 4 — No Bundled Offer Exists for the Field to Present</w:t>
      </w:r>
    </w:p>
    <w:p>
      <w:pPr>
        <w:spacing w:after="160" w:before="0" w:line="360" w:lineRule="exact"/>
        <w:jc w:val="both"/>
      </w:pPr>
      <w:r>
        <w:rPr>
          <w:rFonts w:ascii="Times New Roman" w:hAnsi="Times New Roman"/>
          <w:color w:val="000000"/>
          <w:sz w:val="24"/>
        </w:rPr>
        <w:t>The Month 1 report identifies 42 accounts that are ready and waiting to receive a ROSA + implant + service proposal. The field cannot present what has not been defined and approved. As the report states: "The field cannot negotiate what has not been defined." Bundled pricing approval — combining ROSA placement, knee implant contract, service terms and accessories — is the single commercial decision that unlocks the largest revenue pipeline identified in the survey.</w:t>
      </w:r>
    </w:p>
    <w:p>
      <w:pPr>
        <w:spacing w:before="120" w:after="200" w:line="320" w:lineRule="exact"/>
        <w:ind w:left="360" w:right="360"/>
        <w:pBdr>
          <w:left w:val="single" w:sz="16" w:space="6" w:color="1A7A4A"/>
        </w:pBdr>
      </w:pPr>
      <w:r>
        <w:rPr>
          <w:rFonts w:ascii="Times New Roman" w:hAnsi="Times New Roman"/>
          <w:i/>
          <w:color w:val="1A7A4A"/>
          <w:sz w:val="24"/>
        </w:rPr>
        <w:t>Rs. 1.6 Crore in recoverable revenue is held in 9 underutilised robots and 15 pull-through-deficient accounts. This money requires no new placements — only operational decisions.</w:t>
      </w:r>
    </w:p>
    <w:p>
      <w:pPr>
        <w:spacing w:before="240" w:after="60" w:line="360" w:lineRule="exact"/>
      </w:pPr>
      <w:r>
        <w:rPr>
          <w:rFonts w:ascii="Times New Roman" w:hAnsi="Times New Roman"/>
          <w:b/>
          <w:color w:val="003366"/>
          <w:sz w:val="24"/>
        </w:rPr>
        <w:t>Priority Issue 5 — No Unified Marketing Function Owns the ROSA + Implant Story</w:t>
      </w:r>
    </w:p>
    <w:p>
      <w:pPr>
        <w:spacing w:after="160" w:before="0" w:line="360" w:lineRule="exact"/>
        <w:jc w:val="both"/>
      </w:pPr>
      <w:r>
        <w:rPr>
          <w:rFonts w:ascii="Times New Roman" w:hAnsi="Times New Roman"/>
          <w:color w:val="000000"/>
          <w:sz w:val="24"/>
        </w:rPr>
        <w:t>Marketing, ROSA and field sales currently operate under unclear ownership of corporate accounts — the Month 1 report explicitly flags that the RACI matrix needs to be revisited. The consequence is that marketing activity is fragmented between product lines, the KOL advisory structure has no single steward, and the outcomes evidence needed for CMO-level conversations is not being produced or deployed systematically. A unified marketing function is the organisational fix.</w:t>
      </w:r>
    </w:p>
    <w:p>
      <w:r>
        <w:br w:type="page"/>
      </w:r>
    </w:p>
    <w:p>
      <w:pPr>
        <w:spacing w:before="360" w:after="80" w:line="400" w:lineRule="exact"/>
        <w:pBdr>
          <w:bottom w:val="single" w:sz="8" w:space="2" w:color="003366"/>
        </w:pBdr>
      </w:pPr>
      <w:r>
        <w:rPr>
          <w:rFonts w:ascii="Times New Roman" w:hAnsi="Times New Roman"/>
          <w:b/>
          <w:color w:val="003366"/>
          <w:sz w:val="26"/>
        </w:rPr>
        <w:t>SECTION 2: IMPLANT + ROSA SYNERGY — THE UNIFIED REVENUE ENGINE</w:t>
      </w:r>
    </w:p>
    <w:p>
      <w:pPr>
        <w:spacing w:after="160" w:before="0" w:line="360" w:lineRule="exact"/>
        <w:jc w:val="both"/>
      </w:pPr>
      <w:r>
        <w:rPr>
          <w:rFonts w:ascii="Times New Roman" w:hAnsi="Times New Roman"/>
          <w:color w:val="000000"/>
          <w:sz w:val="24"/>
        </w:rPr>
        <w:t>The central argument of this section is simple: ROSA and knee implants are not two products — they are one revenue system. ROSA's 90-landmark mapping generates the anatomy-specific data that should be driving implant selection, sizing and positioning at every case. The implant pull-through that follows is not automatic; it requires a joint commercial and clinical model. Building that model is the highest-leverage action available to the Country Head.</w:t>
      </w:r>
    </w:p>
    <w:p>
      <w:pPr>
        <w:spacing w:before="240" w:after="60" w:line="360" w:lineRule="exact"/>
      </w:pPr>
      <w:r>
        <w:rPr>
          <w:rFonts w:ascii="Times New Roman" w:hAnsi="Times New Roman"/>
          <w:b/>
          <w:color w:val="003366"/>
          <w:sz w:val="24"/>
        </w:rPr>
        <w:t>2.1  Current State — Why Revenue Is Being Left on the Table</w:t>
      </w:r>
    </w:p>
    <w:tbl>
      <w:tblPr>
        <w:tblStyle w:val="TableGrid"/>
        <w:tblW w:type="auto" w:w="0"/>
        <w:tblLook w:firstColumn="1" w:firstRow="1" w:lastColumn="0" w:lastRow="0" w:noHBand="0" w:noVBand="1" w:val="04A0"/>
      </w:tblPr>
      <w:tblGrid>
        <w:gridCol w:w="2880"/>
        <w:gridCol w:w="2880"/>
        <w:gridCol w:w="2880"/>
      </w:tblGrid>
      <w:tr>
        <w:tc>
          <w:tcPr>
            <w:tcW w:type="dxa" w:w="2160"/>
            <w:shd w:val="clear" w:color="auto" w:fill="003366"/>
          </w:tcPr>
          <w:p>
            <w:pPr>
              <w:jc w:val="center"/>
            </w:pPr>
            <w:r>
              <w:rPr>
                <w:rFonts w:ascii="Times New Roman" w:hAnsi="Times New Roman"/>
                <w:b/>
                <w:color w:val="FFFFFF"/>
                <w:sz w:val="22"/>
              </w:rPr>
              <w:t>Dimension</w:t>
            </w:r>
          </w:p>
        </w:tc>
        <w:tc>
          <w:tcPr>
            <w:tcW w:type="dxa" w:w="4032"/>
            <w:shd w:val="clear" w:color="auto" w:fill="003366"/>
          </w:tcPr>
          <w:p>
            <w:pPr>
              <w:jc w:val="center"/>
            </w:pPr>
            <w:r>
              <w:rPr>
                <w:rFonts w:ascii="Times New Roman" w:hAnsi="Times New Roman"/>
                <w:b/>
                <w:color w:val="FFFFFF"/>
                <w:sz w:val="22"/>
              </w:rPr>
              <w:t>Current Situation</w:t>
            </w:r>
          </w:p>
        </w:tc>
        <w:tc>
          <w:tcPr>
            <w:tcW w:type="dxa" w:w="3600"/>
            <w:shd w:val="clear" w:color="auto" w:fill="003366"/>
          </w:tcPr>
          <w:p>
            <w:pPr>
              <w:jc w:val="center"/>
            </w:pPr>
            <w:r>
              <w:rPr>
                <w:rFonts w:ascii="Times New Roman" w:hAnsi="Times New Roman"/>
                <w:b/>
                <w:color w:val="FFFFFF"/>
                <w:sz w:val="22"/>
              </w:rPr>
              <w:t>Revenue Impact</w:t>
            </w:r>
          </w:p>
        </w:tc>
      </w:tr>
      <w:tr>
        <w:tc>
          <w:tcPr>
            <w:tcW w:type="dxa" w:w="2160"/>
            <w:shd w:val="clear" w:color="auto" w:fill="F2F5F9"/>
          </w:tcPr>
          <w:p>
            <w:r>
              <w:rPr>
                <w:rFonts w:ascii="Times New Roman" w:hAnsi="Times New Roman"/>
                <w:b/>
                <w:color w:val="000000"/>
                <w:sz w:val="22"/>
              </w:rPr>
              <w:t>Account Ownership</w:t>
            </w:r>
          </w:p>
        </w:tc>
        <w:tc>
          <w:tcPr>
            <w:tcW w:type="dxa" w:w="4032"/>
            <w:shd w:val="clear" w:color="auto" w:fill="F2F5F9"/>
          </w:tcPr>
          <w:p>
            <w:r>
              <w:rPr>
                <w:rFonts w:ascii="Times New Roman" w:hAnsi="Times New Roman"/>
                <w:b w:val="0"/>
                <w:color w:val="000000"/>
                <w:sz w:val="22"/>
              </w:rPr>
              <w:t>ROSA team and Implant team call on same account independently</w:t>
            </w:r>
          </w:p>
        </w:tc>
        <w:tc>
          <w:tcPr>
            <w:tcW w:type="dxa" w:w="3600"/>
            <w:shd w:val="clear" w:color="auto" w:fill="F2F5F9"/>
          </w:tcPr>
          <w:p>
            <w:r>
              <w:rPr>
                <w:rFonts w:ascii="Times New Roman" w:hAnsi="Times New Roman"/>
                <w:b w:val="0"/>
                <w:color w:val="000000"/>
                <w:sz w:val="22"/>
              </w:rPr>
              <w:t>Hospital sees two vendors; total account revenue unmanaged</w:t>
            </w:r>
          </w:p>
        </w:tc>
      </w:tr>
      <w:tr>
        <w:tc>
          <w:tcPr>
            <w:tcW w:type="dxa" w:w="2160"/>
            <w:shd w:val="clear" w:color="auto" w:fill="FFFFFF"/>
          </w:tcPr>
          <w:p>
            <w:r>
              <w:rPr>
                <w:rFonts w:ascii="Times New Roman" w:hAnsi="Times New Roman"/>
                <w:b/>
                <w:color w:val="000000"/>
                <w:sz w:val="22"/>
              </w:rPr>
              <w:t>Target Structure</w:t>
            </w:r>
          </w:p>
        </w:tc>
        <w:tc>
          <w:tcPr>
            <w:tcW w:type="dxa" w:w="4032"/>
            <w:shd w:val="clear" w:color="auto" w:fill="FFFFFF"/>
          </w:tcPr>
          <w:p>
            <w:r>
              <w:rPr>
                <w:rFonts w:ascii="Times New Roman" w:hAnsi="Times New Roman"/>
                <w:b w:val="0"/>
                <w:color w:val="000000"/>
                <w:sz w:val="22"/>
              </w:rPr>
              <w:t>Separate targets: ROSA placements vs. implant volume</w:t>
            </w:r>
          </w:p>
        </w:tc>
        <w:tc>
          <w:tcPr>
            <w:tcW w:type="dxa" w:w="3600"/>
            <w:shd w:val="clear" w:color="auto" w:fill="FFFFFF"/>
          </w:tcPr>
          <w:p>
            <w:r>
              <w:rPr>
                <w:rFonts w:ascii="Times New Roman" w:hAnsi="Times New Roman"/>
                <w:b w:val="0"/>
                <w:color w:val="000000"/>
                <w:sz w:val="22"/>
              </w:rPr>
              <w:t>Neither team has incentive to support the other's conversion</w:t>
            </w:r>
          </w:p>
        </w:tc>
      </w:tr>
      <w:tr>
        <w:tc>
          <w:tcPr>
            <w:tcW w:type="dxa" w:w="2160"/>
            <w:shd w:val="clear" w:color="auto" w:fill="F2F5F9"/>
          </w:tcPr>
          <w:p>
            <w:r>
              <w:rPr>
                <w:rFonts w:ascii="Times New Roman" w:hAnsi="Times New Roman"/>
                <w:b/>
                <w:color w:val="000000"/>
                <w:sz w:val="22"/>
              </w:rPr>
              <w:t>Account Planning</w:t>
            </w:r>
          </w:p>
        </w:tc>
        <w:tc>
          <w:tcPr>
            <w:tcW w:type="dxa" w:w="4032"/>
            <w:shd w:val="clear" w:color="auto" w:fill="F2F5F9"/>
          </w:tcPr>
          <w:p>
            <w:r>
              <w:rPr>
                <w:rFonts w:ascii="Times New Roman" w:hAnsi="Times New Roman"/>
                <w:b w:val="0"/>
                <w:color w:val="000000"/>
                <w:sz w:val="22"/>
              </w:rPr>
              <w:t>No joint account plan for ROSA sites</w:t>
            </w:r>
          </w:p>
        </w:tc>
        <w:tc>
          <w:tcPr>
            <w:tcW w:type="dxa" w:w="3600"/>
            <w:shd w:val="clear" w:color="auto" w:fill="F2F5F9"/>
          </w:tcPr>
          <w:p>
            <w:r>
              <w:rPr>
                <w:rFonts w:ascii="Times New Roman" w:hAnsi="Times New Roman"/>
                <w:b w:val="0"/>
                <w:color w:val="000000"/>
                <w:sz w:val="22"/>
              </w:rPr>
              <w:t>Implant pull-through failing at 23% of ROSA accounts (15 entries)</w:t>
            </w:r>
          </w:p>
        </w:tc>
      </w:tr>
      <w:tr>
        <w:tc>
          <w:tcPr>
            <w:tcW w:type="dxa" w:w="2160"/>
            <w:shd w:val="clear" w:color="auto" w:fill="FFFFFF"/>
          </w:tcPr>
          <w:p>
            <w:r>
              <w:rPr>
                <w:rFonts w:ascii="Times New Roman" w:hAnsi="Times New Roman"/>
                <w:b/>
                <w:color w:val="000000"/>
                <w:sz w:val="22"/>
              </w:rPr>
              <w:t>Commercial Proposal</w:t>
            </w:r>
          </w:p>
        </w:tc>
        <w:tc>
          <w:tcPr>
            <w:tcW w:type="dxa" w:w="4032"/>
            <w:shd w:val="clear" w:color="auto" w:fill="FFFFFF"/>
          </w:tcPr>
          <w:p>
            <w:r>
              <w:rPr>
                <w:rFonts w:ascii="Times New Roman" w:hAnsi="Times New Roman"/>
                <w:b w:val="0"/>
                <w:color w:val="000000"/>
                <w:sz w:val="22"/>
              </w:rPr>
              <w:t>No combined proposition on the table</w:t>
            </w:r>
          </w:p>
        </w:tc>
        <w:tc>
          <w:tcPr>
            <w:tcW w:type="dxa" w:w="3600"/>
            <w:shd w:val="clear" w:color="auto" w:fill="FFFFFF"/>
          </w:tcPr>
          <w:p>
            <w:r>
              <w:rPr>
                <w:rFonts w:ascii="Times New Roman" w:hAnsi="Times New Roman"/>
                <w:b w:val="0"/>
                <w:color w:val="000000"/>
                <w:sz w:val="22"/>
              </w:rPr>
              <w:t>42 accounts waiting; Rs. 1.6 Cr pipeline stalled</w:t>
            </w:r>
          </w:p>
        </w:tc>
      </w:tr>
      <w:tr>
        <w:tc>
          <w:tcPr>
            <w:tcW w:type="dxa" w:w="2160"/>
            <w:shd w:val="clear" w:color="auto" w:fill="F2F5F9"/>
          </w:tcPr>
          <w:p>
            <w:r>
              <w:rPr>
                <w:rFonts w:ascii="Times New Roman" w:hAnsi="Times New Roman"/>
                <w:b/>
                <w:color w:val="000000"/>
                <w:sz w:val="22"/>
              </w:rPr>
              <w:t>Field Communication</w:t>
            </w:r>
          </w:p>
        </w:tc>
        <w:tc>
          <w:tcPr>
            <w:tcW w:type="dxa" w:w="4032"/>
            <w:shd w:val="clear" w:color="auto" w:fill="F2F5F9"/>
          </w:tcPr>
          <w:p>
            <w:r>
              <w:rPr>
                <w:rFonts w:ascii="Times New Roman" w:hAnsi="Times New Roman"/>
                <w:b w:val="0"/>
                <w:color w:val="000000"/>
                <w:sz w:val="22"/>
              </w:rPr>
              <w:t>No shared ROSA + implant narrative</w:t>
            </w:r>
          </w:p>
        </w:tc>
        <w:tc>
          <w:tcPr>
            <w:tcW w:type="dxa" w:w="3600"/>
            <w:shd w:val="clear" w:color="auto" w:fill="F2F5F9"/>
          </w:tcPr>
          <w:p>
            <w:r>
              <w:rPr>
                <w:rFonts w:ascii="Times New Roman" w:hAnsi="Times New Roman"/>
                <w:b w:val="0"/>
                <w:color w:val="000000"/>
                <w:sz w:val="22"/>
              </w:rPr>
              <w:t>50% of reps cite misalignment as primary barrier</w:t>
            </w:r>
          </w:p>
        </w:tc>
      </w:tr>
    </w:tbl>
    <w:p/>
    <w:p>
      <w:pPr>
        <w:spacing w:before="240" w:after="60" w:line="360" w:lineRule="exact"/>
      </w:pPr>
      <w:r>
        <w:rPr>
          <w:rFonts w:ascii="Times New Roman" w:hAnsi="Times New Roman"/>
          <w:b/>
          <w:color w:val="003366"/>
          <w:sz w:val="24"/>
        </w:rPr>
        <w:t>2.2  The Unified Revenue Engine — Proposed Operating Model</w:t>
      </w:r>
    </w:p>
    <w:p>
      <w:pPr>
        <w:spacing w:after="160" w:before="0" w:line="360" w:lineRule="exact"/>
        <w:jc w:val="both"/>
      </w:pPr>
      <w:r>
        <w:rPr>
          <w:rFonts w:ascii="Times New Roman" w:hAnsi="Times New Roman"/>
          <w:color w:val="000000"/>
          <w:sz w:val="24"/>
        </w:rPr>
        <w:t>The fix requires three structural changes: a shared account, a shared plan and a shared number. Each change is an internal decision, not a budget item.</w:t>
      </w:r>
    </w:p>
    <w:p>
      <w:pPr>
        <w:spacing w:before="160" w:after="40" w:line="320" w:lineRule="exact"/>
      </w:pPr>
      <w:r>
        <w:rPr>
          <w:rFonts w:ascii="Times New Roman" w:hAnsi="Times New Roman"/>
          <w:b/>
          <w:i/>
          <w:color w:val="000000"/>
          <w:sz w:val="24"/>
        </w:rPr>
        <w:t>One Territory, One Revenue Lead</w:t>
      </w:r>
    </w:p>
    <w:p>
      <w:pPr>
        <w:spacing w:after="160" w:before="0" w:line="360" w:lineRule="exact"/>
        <w:jc w:val="both"/>
      </w:pPr>
      <w:r>
        <w:rPr>
          <w:rFonts w:ascii="Times New Roman" w:hAnsi="Times New Roman"/>
          <w:color w:val="000000"/>
          <w:sz w:val="24"/>
        </w:rPr>
        <w:t>Appoint a Unified Revenue Lead (URL) for each of the eight territories. The URL holds accountability for the total revenue of every ROSA-active account in the territory — implant volume and ROSA case volume combined. The URL is not a new hire; it is a re-designation of the senior territory manager with a revised mandate. ROSA specialists and implant reps both report commercially into the URL for corporate account purposes.</w:t>
      </w:r>
    </w:p>
    <w:p>
      <w:pPr>
        <w:spacing w:before="160" w:after="40" w:line="320" w:lineRule="exact"/>
      </w:pPr>
      <w:r>
        <w:rPr>
          <w:rFonts w:ascii="Times New Roman" w:hAnsi="Times New Roman"/>
          <w:b/>
          <w:i/>
          <w:color w:val="000000"/>
          <w:sz w:val="24"/>
        </w:rPr>
        <w:t>Joint Account Planning — Every ROSA Site</w:t>
      </w:r>
    </w:p>
    <w:p>
      <w:pPr>
        <w:spacing w:after="160" w:before="0" w:line="360" w:lineRule="exact"/>
        <w:jc w:val="both"/>
      </w:pPr>
      <w:r>
        <w:rPr>
          <w:rFonts w:ascii="Times New Roman" w:hAnsi="Times New Roman"/>
          <w:color w:val="000000"/>
          <w:sz w:val="24"/>
        </w:rPr>
        <w:t>Every account with a ROSA installation or a live ROSA placement opportunity requires a joint account plan co-signed by the implant rep and the ROSA specialist. The plan covers: ROSA case target per quarter, implant pull-through target per ROSA case, KOL champion status, CMO relationship status and bundled offer proposal status. Joint plans are reviewed monthly by the URL and the Regional Manager.</w:t>
      </w:r>
    </w:p>
    <w:p>
      <w:pPr>
        <w:spacing w:before="160" w:after="40" w:line="320" w:lineRule="exact"/>
      </w:pPr>
      <w:r>
        <w:rPr>
          <w:rFonts w:ascii="Times New Roman" w:hAnsi="Times New Roman"/>
          <w:b/>
          <w:i/>
          <w:color w:val="000000"/>
          <w:sz w:val="24"/>
        </w:rPr>
        <w:t>Shared P&amp;L for Corporate Accounts</w:t>
      </w:r>
    </w:p>
    <w:p>
      <w:pPr>
        <w:spacing w:after="160" w:before="0" w:line="360" w:lineRule="exact"/>
        <w:jc w:val="both"/>
      </w:pPr>
      <w:r>
        <w:rPr>
          <w:rFonts w:ascii="Times New Roman" w:hAnsi="Times New Roman"/>
          <w:color w:val="000000"/>
          <w:sz w:val="24"/>
        </w:rPr>
        <w:t>Corporate chain accounts (Apollo, Fortis, Max, Manipal and equivalent) are moved to a shared P&amp;L model. Implant revenue from a ROSA account is credited to both the implant rep and the ROSA specialist. This removes the structural incentive for the two teams to compete and creates a financial reason to co-sell. The Month 1 report identifies this as the foundational move — P2 (bundled pricing) is difficult to execute while the two teams still carry separate numbers.</w:t>
      </w:r>
    </w:p>
    <w:p>
      <w:pPr>
        <w:spacing w:before="120" w:after="200" w:line="320" w:lineRule="exact"/>
        <w:ind w:left="360" w:right="360"/>
        <w:pBdr>
          <w:left w:val="single" w:sz="16" w:space="6" w:color="003366"/>
        </w:pBdr>
      </w:pPr>
      <w:r>
        <w:rPr>
          <w:rFonts w:ascii="Times New Roman" w:hAnsi="Times New Roman"/>
          <w:i/>
          <w:color w:val="003366"/>
          <w:sz w:val="24"/>
        </w:rPr>
        <w:t>Management action: Issue a Country Head directive designating Unified Revenue Leads and mandating joint account plans for all ROSA sites within 30 days. No budget required — this is a re-designation and a governance change.</w:t>
      </w:r>
    </w:p>
    <w:p>
      <w:pPr>
        <w:spacing w:before="240" w:after="60" w:line="360" w:lineRule="exact"/>
      </w:pPr>
      <w:r>
        <w:rPr>
          <w:rFonts w:ascii="Times New Roman" w:hAnsi="Times New Roman"/>
          <w:b/>
          <w:color w:val="003366"/>
          <w:sz w:val="24"/>
        </w:rPr>
        <w:t>2.3  Common Goals Framework — Implant + ROSA Teams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003366"/>
          </w:tcPr>
          <w:p>
            <w:pPr>
              <w:jc w:val="center"/>
            </w:pPr>
            <w:r>
              <w:rPr>
                <w:rFonts w:ascii="Times New Roman" w:hAnsi="Times New Roman"/>
                <w:b/>
                <w:color w:val="FFFFFF"/>
                <w:sz w:val="22"/>
              </w:rPr>
              <w:t>Goal</w:t>
            </w:r>
          </w:p>
        </w:tc>
        <w:tc>
          <w:tcPr>
            <w:tcW w:type="dxa" w:w="2448"/>
            <w:shd w:val="clear" w:color="auto" w:fill="003366"/>
          </w:tcPr>
          <w:p>
            <w:pPr>
              <w:jc w:val="center"/>
            </w:pPr>
            <w:r>
              <w:rPr>
                <w:rFonts w:ascii="Times New Roman" w:hAnsi="Times New Roman"/>
                <w:b/>
                <w:color w:val="FFFFFF"/>
                <w:sz w:val="22"/>
              </w:rPr>
              <w:t>Implant Team Metric</w:t>
            </w:r>
          </w:p>
        </w:tc>
        <w:tc>
          <w:tcPr>
            <w:tcW w:type="dxa" w:w="2448"/>
            <w:shd w:val="clear" w:color="auto" w:fill="003366"/>
          </w:tcPr>
          <w:p>
            <w:pPr>
              <w:jc w:val="center"/>
            </w:pPr>
            <w:r>
              <w:rPr>
                <w:rFonts w:ascii="Times New Roman" w:hAnsi="Times New Roman"/>
                <w:b/>
                <w:color w:val="FFFFFF"/>
                <w:sz w:val="22"/>
              </w:rPr>
              <w:t>ROSA Team Metric</w:t>
            </w:r>
          </w:p>
        </w:tc>
        <w:tc>
          <w:tcPr>
            <w:tcW w:type="dxa" w:w="2592"/>
            <w:shd w:val="clear" w:color="auto" w:fill="003366"/>
          </w:tcPr>
          <w:p>
            <w:pPr>
              <w:jc w:val="center"/>
            </w:pPr>
            <w:r>
              <w:rPr>
                <w:rFonts w:ascii="Times New Roman" w:hAnsi="Times New Roman"/>
                <w:b/>
                <w:color w:val="FFFFFF"/>
                <w:sz w:val="22"/>
              </w:rPr>
              <w:t>Shared KPI</w:t>
            </w:r>
          </w:p>
        </w:tc>
      </w:tr>
      <w:tr>
        <w:tc>
          <w:tcPr>
            <w:tcW w:type="dxa" w:w="2160"/>
            <w:shd w:val="clear" w:color="auto" w:fill="F2F5F9"/>
          </w:tcPr>
          <w:p>
            <w:r>
              <w:rPr>
                <w:rFonts w:ascii="Times New Roman" w:hAnsi="Times New Roman"/>
                <w:b/>
                <w:color w:val="000000"/>
                <w:sz w:val="22"/>
              </w:rPr>
              <w:t>Revenue Growth</w:t>
            </w:r>
          </w:p>
        </w:tc>
        <w:tc>
          <w:tcPr>
            <w:tcW w:type="dxa" w:w="2448"/>
            <w:shd w:val="clear" w:color="auto" w:fill="F2F5F9"/>
          </w:tcPr>
          <w:p>
            <w:r>
              <w:rPr>
                <w:rFonts w:ascii="Times New Roman" w:hAnsi="Times New Roman"/>
                <w:b w:val="0"/>
                <w:color w:val="000000"/>
                <w:sz w:val="22"/>
              </w:rPr>
              <w:t>+30% knee implant revenue at ROSA accounts</w:t>
            </w:r>
          </w:p>
        </w:tc>
        <w:tc>
          <w:tcPr>
            <w:tcW w:type="dxa" w:w="2448"/>
            <w:shd w:val="clear" w:color="auto" w:fill="F2F5F9"/>
          </w:tcPr>
          <w:p>
            <w:r>
              <w:rPr>
                <w:rFonts w:ascii="Times New Roman" w:hAnsi="Times New Roman"/>
                <w:b w:val="0"/>
                <w:color w:val="000000"/>
                <w:sz w:val="22"/>
              </w:rPr>
              <w:t>+40% ROSA case volume at installed sites</w:t>
            </w:r>
          </w:p>
        </w:tc>
        <w:tc>
          <w:tcPr>
            <w:tcW w:type="dxa" w:w="2592"/>
            <w:shd w:val="clear" w:color="auto" w:fill="F2F5F9"/>
          </w:tcPr>
          <w:p>
            <w:r>
              <w:rPr>
                <w:rFonts w:ascii="Times New Roman" w:hAnsi="Times New Roman"/>
                <w:b w:val="0"/>
                <w:color w:val="000000"/>
                <w:sz w:val="22"/>
              </w:rPr>
              <w:t>Combined account revenue vs. baseline</w:t>
            </w:r>
          </w:p>
        </w:tc>
      </w:tr>
      <w:tr>
        <w:tc>
          <w:tcPr>
            <w:tcW w:type="dxa" w:w="2160"/>
            <w:shd w:val="clear" w:color="auto" w:fill="FFFFFF"/>
          </w:tcPr>
          <w:p>
            <w:r>
              <w:rPr>
                <w:rFonts w:ascii="Times New Roman" w:hAnsi="Times New Roman"/>
                <w:b/>
                <w:color w:val="000000"/>
                <w:sz w:val="22"/>
              </w:rPr>
              <w:t>Pull-Through</w:t>
            </w:r>
          </w:p>
        </w:tc>
        <w:tc>
          <w:tcPr>
            <w:tcW w:type="dxa" w:w="2448"/>
            <w:shd w:val="clear" w:color="auto" w:fill="FFFFFF"/>
          </w:tcPr>
          <w:p>
            <w:r>
              <w:rPr>
                <w:rFonts w:ascii="Times New Roman" w:hAnsi="Times New Roman"/>
                <w:b w:val="0"/>
                <w:color w:val="000000"/>
                <w:sz w:val="22"/>
              </w:rPr>
              <w:t>Implant units per ROSA case &gt;= 1.5</w:t>
            </w:r>
          </w:p>
        </w:tc>
        <w:tc>
          <w:tcPr>
            <w:tcW w:type="dxa" w:w="2448"/>
            <w:shd w:val="clear" w:color="auto" w:fill="FFFFFF"/>
          </w:tcPr>
          <w:p>
            <w:r>
              <w:rPr>
                <w:rFonts w:ascii="Times New Roman" w:hAnsi="Times New Roman"/>
                <w:b w:val="0"/>
                <w:color w:val="000000"/>
                <w:sz w:val="22"/>
              </w:rPr>
              <w:t>ROSA cases per month per installed robot &gt;= 4</w:t>
            </w:r>
          </w:p>
        </w:tc>
        <w:tc>
          <w:tcPr>
            <w:tcW w:type="dxa" w:w="2592"/>
            <w:shd w:val="clear" w:color="auto" w:fill="FFFFFF"/>
          </w:tcPr>
          <w:p>
            <w:r>
              <w:rPr>
                <w:rFonts w:ascii="Times New Roman" w:hAnsi="Times New Roman"/>
                <w:b w:val="0"/>
                <w:color w:val="000000"/>
                <w:sz w:val="22"/>
              </w:rPr>
              <w:t>Pull-through conversion rate by territory</w:t>
            </w:r>
          </w:p>
        </w:tc>
      </w:tr>
      <w:tr>
        <w:tc>
          <w:tcPr>
            <w:tcW w:type="dxa" w:w="2160"/>
            <w:shd w:val="clear" w:color="auto" w:fill="F2F5F9"/>
          </w:tcPr>
          <w:p>
            <w:r>
              <w:rPr>
                <w:rFonts w:ascii="Times New Roman" w:hAnsi="Times New Roman"/>
                <w:b/>
                <w:color w:val="000000"/>
                <w:sz w:val="22"/>
              </w:rPr>
              <w:t>Institutional Access</w:t>
            </w:r>
          </w:p>
        </w:tc>
        <w:tc>
          <w:tcPr>
            <w:tcW w:type="dxa" w:w="2448"/>
            <w:shd w:val="clear" w:color="auto" w:fill="F2F5F9"/>
          </w:tcPr>
          <w:p>
            <w:r>
              <w:rPr>
                <w:rFonts w:ascii="Times New Roman" w:hAnsi="Times New Roman"/>
                <w:b w:val="0"/>
                <w:color w:val="000000"/>
                <w:sz w:val="22"/>
              </w:rPr>
              <w:t>CMO meeting at 4 corporate chains</w:t>
            </w:r>
          </w:p>
        </w:tc>
        <w:tc>
          <w:tcPr>
            <w:tcW w:type="dxa" w:w="2448"/>
            <w:shd w:val="clear" w:color="auto" w:fill="F2F5F9"/>
          </w:tcPr>
          <w:p>
            <w:r>
              <w:rPr>
                <w:rFonts w:ascii="Times New Roman" w:hAnsi="Times New Roman"/>
                <w:b w:val="0"/>
                <w:color w:val="000000"/>
                <w:sz w:val="22"/>
              </w:rPr>
              <w:t>ROSA demonstration at 4 corporate chains</w:t>
            </w:r>
          </w:p>
        </w:tc>
        <w:tc>
          <w:tcPr>
            <w:tcW w:type="dxa" w:w="2592"/>
            <w:shd w:val="clear" w:color="auto" w:fill="F2F5F9"/>
          </w:tcPr>
          <w:p>
            <w:r>
              <w:rPr>
                <w:rFonts w:ascii="Times New Roman" w:hAnsi="Times New Roman"/>
                <w:b w:val="0"/>
                <w:color w:val="000000"/>
                <w:sz w:val="22"/>
              </w:rPr>
              <w:t>LOI signed with &gt;= 2 chains by Day 90</w:t>
            </w:r>
          </w:p>
        </w:tc>
      </w:tr>
      <w:tr>
        <w:tc>
          <w:tcPr>
            <w:tcW w:type="dxa" w:w="2160"/>
            <w:shd w:val="clear" w:color="auto" w:fill="FFFFFF"/>
          </w:tcPr>
          <w:p>
            <w:r>
              <w:rPr>
                <w:rFonts w:ascii="Times New Roman" w:hAnsi="Times New Roman"/>
                <w:b/>
                <w:color w:val="000000"/>
                <w:sz w:val="22"/>
              </w:rPr>
              <w:t>KOL Activation</w:t>
            </w:r>
          </w:p>
        </w:tc>
        <w:tc>
          <w:tcPr>
            <w:tcW w:type="dxa" w:w="2448"/>
            <w:shd w:val="clear" w:color="auto" w:fill="FFFFFF"/>
          </w:tcPr>
          <w:p>
            <w:r>
              <w:rPr>
                <w:rFonts w:ascii="Times New Roman" w:hAnsi="Times New Roman"/>
                <w:b w:val="0"/>
                <w:color w:val="000000"/>
                <w:sz w:val="22"/>
              </w:rPr>
              <w:t>5 surgeon champions identified per region</w:t>
            </w:r>
          </w:p>
        </w:tc>
        <w:tc>
          <w:tcPr>
            <w:tcW w:type="dxa" w:w="2448"/>
            <w:shd w:val="clear" w:color="auto" w:fill="FFFFFF"/>
          </w:tcPr>
          <w:p>
            <w:r>
              <w:rPr>
                <w:rFonts w:ascii="Times New Roman" w:hAnsi="Times New Roman"/>
                <w:b w:val="0"/>
                <w:color w:val="000000"/>
                <w:sz w:val="22"/>
              </w:rPr>
              <w:t>5 surgeon champions trained on ROSA</w:t>
            </w:r>
          </w:p>
        </w:tc>
        <w:tc>
          <w:tcPr>
            <w:tcW w:type="dxa" w:w="2592"/>
            <w:shd w:val="clear" w:color="auto" w:fill="FFFFFF"/>
          </w:tcPr>
          <w:p>
            <w:r>
              <w:rPr>
                <w:rFonts w:ascii="Times New Roman" w:hAnsi="Times New Roman"/>
                <w:b w:val="0"/>
                <w:color w:val="000000"/>
                <w:sz w:val="22"/>
              </w:rPr>
              <w:t>10 KOLs active across 8 territories</w:t>
            </w:r>
          </w:p>
        </w:tc>
      </w:tr>
      <w:tr>
        <w:tc>
          <w:tcPr>
            <w:tcW w:type="dxa" w:w="2160"/>
            <w:shd w:val="clear" w:color="auto" w:fill="F2F5F9"/>
          </w:tcPr>
          <w:p>
            <w:r>
              <w:rPr>
                <w:rFonts w:ascii="Times New Roman" w:hAnsi="Times New Roman"/>
                <w:b/>
                <w:color w:val="000000"/>
                <w:sz w:val="22"/>
              </w:rPr>
              <w:t>Bundle Adoption</w:t>
            </w:r>
          </w:p>
        </w:tc>
        <w:tc>
          <w:tcPr>
            <w:tcW w:type="dxa" w:w="2448"/>
            <w:shd w:val="clear" w:color="auto" w:fill="F2F5F9"/>
          </w:tcPr>
          <w:p>
            <w:r>
              <w:rPr>
                <w:rFonts w:ascii="Times New Roman" w:hAnsi="Times New Roman"/>
                <w:b w:val="0"/>
                <w:color w:val="000000"/>
                <w:sz w:val="22"/>
              </w:rPr>
              <w:t>20+ bundled proposals submitted</w:t>
            </w:r>
          </w:p>
        </w:tc>
        <w:tc>
          <w:tcPr>
            <w:tcW w:type="dxa" w:w="2448"/>
            <w:shd w:val="clear" w:color="auto" w:fill="F2F5F9"/>
          </w:tcPr>
          <w:p>
            <w:r>
              <w:rPr>
                <w:rFonts w:ascii="Times New Roman" w:hAnsi="Times New Roman"/>
                <w:b w:val="0"/>
                <w:color w:val="000000"/>
                <w:sz w:val="22"/>
              </w:rPr>
              <w:t>20+ accounts receiving bundle proposal</w:t>
            </w:r>
          </w:p>
        </w:tc>
        <w:tc>
          <w:tcPr>
            <w:tcW w:type="dxa" w:w="2592"/>
            <w:shd w:val="clear" w:color="auto" w:fill="F2F5F9"/>
          </w:tcPr>
          <w:p>
            <w:r>
              <w:rPr>
                <w:rFonts w:ascii="Times New Roman" w:hAnsi="Times New Roman"/>
                <w:b w:val="0"/>
                <w:color w:val="000000"/>
                <w:sz w:val="22"/>
              </w:rPr>
              <w:t>Bundle close rate &gt;= 40%</w:t>
            </w:r>
          </w:p>
        </w:tc>
      </w:tr>
    </w:tbl>
    <w:p/>
    <w:p>
      <w:pPr>
        <w:spacing w:before="360" w:after="80" w:line="400" w:lineRule="exact"/>
        <w:pBdr>
          <w:bottom w:val="single" w:sz="8" w:space="2" w:color="003366"/>
        </w:pBdr>
      </w:pPr>
      <w:r>
        <w:rPr>
          <w:rFonts w:ascii="Times New Roman" w:hAnsi="Times New Roman"/>
          <w:b/>
          <w:color w:val="003366"/>
          <w:sz w:val="26"/>
        </w:rPr>
        <w:t>SECTION 3: ROSA 5-YEAR COMPREHENSIVE WARRANTY PROGRAMME</w:t>
      </w:r>
    </w:p>
    <w:p>
      <w:pPr>
        <w:spacing w:after="160" w:before="0" w:line="360" w:lineRule="exact"/>
        <w:jc w:val="both"/>
      </w:pPr>
      <w:r>
        <w:rPr>
          <w:rFonts w:ascii="Times New Roman" w:hAnsi="Times New Roman"/>
          <w:color w:val="000000"/>
          <w:sz w:val="24"/>
        </w:rPr>
        <w:t>One of the most significant structural barriers to ROSA adoption at corporate hospital chains is procurement risk. Group hospital CFOs and Medical Directors evaluating a capital acquisition of this scale are not only asking what the system does — they are asking what happens when it does not. A 5-year comprehensive warranty converts ROSA from a capital risk into a managed service relationship, and changes the conversation at the group office from capex evaluation to outcomes partnership.</w:t>
      </w:r>
    </w:p>
    <w:p>
      <w:pPr>
        <w:spacing w:before="240" w:after="60" w:line="360" w:lineRule="exact"/>
      </w:pPr>
      <w:r>
        <w:rPr>
          <w:rFonts w:ascii="Times New Roman" w:hAnsi="Times New Roman"/>
          <w:b/>
          <w:color w:val="003366"/>
          <w:sz w:val="24"/>
        </w:rPr>
        <w:t>3.1  Rationale — Why the Warranty Is a Commercial Imperative</w:t>
      </w:r>
    </w:p>
    <w:p>
      <w:pPr>
        <w:pStyle w:val="ListBullet"/>
        <w:spacing w:after="60" w:line="320" w:lineRule="exact"/>
        <w:ind w:left="432"/>
      </w:pPr>
      <w:r>
        <w:rPr>
          <w:rFonts w:ascii="Times New Roman" w:hAnsi="Times New Roman"/>
          <w:b/>
          <w:color w:val="003366"/>
          <w:sz w:val="24"/>
        </w:rPr>
        <w:t xml:space="preserve">Procurement barrier:  </w:t>
      </w:r>
      <w:r>
        <w:rPr>
          <w:rFonts w:ascii="Times New Roman" w:hAnsi="Times New Roman"/>
          <w:color w:val="000000"/>
          <w:sz w:val="24"/>
        </w:rPr>
        <w:t>Corporate procurement committees require a defined total cost of ownership (TCO) before approving a capital item. Without a warranty framework, ROSA's TCO is undefined and unacceptable to group finance.</w:t>
      </w:r>
    </w:p>
    <w:p>
      <w:pPr>
        <w:pStyle w:val="ListBullet"/>
        <w:spacing w:after="60" w:line="320" w:lineRule="exact"/>
        <w:ind w:left="432"/>
      </w:pPr>
      <w:r>
        <w:rPr>
          <w:rFonts w:ascii="Times New Roman" w:hAnsi="Times New Roman"/>
          <w:b/>
          <w:color w:val="003366"/>
          <w:sz w:val="24"/>
        </w:rPr>
        <w:t xml:space="preserve">Competitive response:  </w:t>
      </w:r>
      <w:r>
        <w:rPr>
          <w:rFonts w:ascii="Times New Roman" w:hAnsi="Times New Roman"/>
          <w:color w:val="000000"/>
          <w:sz w:val="24"/>
        </w:rPr>
        <w:t>Stryker MAKO's field teams are known to use service uncertainty as an objection against ROSA. A 5-year comprehensive warranty neutralises this narrative entirely.</w:t>
      </w:r>
    </w:p>
    <w:p>
      <w:pPr>
        <w:pStyle w:val="ListBullet"/>
        <w:spacing w:after="60" w:line="320" w:lineRule="exact"/>
        <w:ind w:left="432"/>
      </w:pPr>
      <w:r>
        <w:rPr>
          <w:rFonts w:ascii="Times New Roman" w:hAnsi="Times New Roman"/>
          <w:b/>
          <w:color w:val="003366"/>
          <w:sz w:val="24"/>
        </w:rPr>
        <w:t xml:space="preserve">Revenue protection:  </w:t>
      </w:r>
      <w:r>
        <w:rPr>
          <w:rFonts w:ascii="Times New Roman" w:hAnsi="Times New Roman"/>
          <w:color w:val="000000"/>
          <w:sz w:val="24"/>
        </w:rPr>
        <w:t>Each underutilised ROSA installation costs ZB India approximately Rs. 18 Lakh per year in unrealised implant pull-through. A warranty that keeps the robot operational protects both the hospital's investment and ZB's recurring revenue.</w:t>
      </w:r>
    </w:p>
    <w:p>
      <w:pPr>
        <w:pStyle w:val="ListBullet"/>
        <w:spacing w:after="60" w:line="320" w:lineRule="exact"/>
        <w:ind w:left="432"/>
      </w:pPr>
      <w:r>
        <w:rPr>
          <w:rFonts w:ascii="Times New Roman" w:hAnsi="Times New Roman"/>
          <w:b/>
          <w:color w:val="003366"/>
          <w:sz w:val="24"/>
        </w:rPr>
        <w:t xml:space="preserve">Institutional access:  </w:t>
      </w:r>
      <w:r>
        <w:rPr>
          <w:rFonts w:ascii="Times New Roman" w:hAnsi="Times New Roman"/>
          <w:color w:val="000000"/>
          <w:sz w:val="24"/>
        </w:rPr>
        <w:t>A warranty programme creates a formal service relationship with the hospital, which is the structural route to preferred vendor status. It gives the ZB service team a reason to be in the building every quarter.</w:t>
      </w:r>
    </w:p>
    <w:p>
      <w:pPr>
        <w:spacing w:before="240" w:after="60" w:line="360" w:lineRule="exact"/>
      </w:pPr>
      <w:r>
        <w:rPr>
          <w:rFonts w:ascii="Times New Roman" w:hAnsi="Times New Roman"/>
          <w:b/>
          <w:color w:val="003366"/>
          <w:sz w:val="24"/>
        </w:rPr>
        <w:t>3.2  Programme Architecture — What the 5-Year Warranty Covers</w:t>
      </w:r>
    </w:p>
    <w:tbl>
      <w:tblPr>
        <w:tblStyle w:val="TableGrid"/>
        <w:tblW w:type="auto" w:w="0"/>
        <w:tblLook w:firstColumn="1" w:firstRow="1" w:lastColumn="0" w:lastRow="0" w:noHBand="0" w:noVBand="1" w:val="04A0"/>
      </w:tblPr>
      <w:tblGrid>
        <w:gridCol w:w="2880"/>
        <w:gridCol w:w="2880"/>
        <w:gridCol w:w="2880"/>
      </w:tblGrid>
      <w:tr>
        <w:tc>
          <w:tcPr>
            <w:tcW w:type="dxa" w:w="2016"/>
            <w:shd w:val="clear" w:color="auto" w:fill="003366"/>
          </w:tcPr>
          <w:p>
            <w:pPr>
              <w:jc w:val="center"/>
            </w:pPr>
            <w:r>
              <w:rPr>
                <w:rFonts w:ascii="Times New Roman" w:hAnsi="Times New Roman"/>
                <w:b/>
                <w:color w:val="FFFFFF"/>
                <w:sz w:val="22"/>
              </w:rPr>
              <w:t>Component</w:t>
            </w:r>
          </w:p>
        </w:tc>
        <w:tc>
          <w:tcPr>
            <w:tcW w:type="dxa" w:w="4320"/>
            <w:shd w:val="clear" w:color="auto" w:fill="003366"/>
          </w:tcPr>
          <w:p>
            <w:pPr>
              <w:jc w:val="center"/>
            </w:pPr>
            <w:r>
              <w:rPr>
                <w:rFonts w:ascii="Times New Roman" w:hAnsi="Times New Roman"/>
                <w:b/>
                <w:color w:val="FFFFFF"/>
                <w:sz w:val="22"/>
              </w:rPr>
              <w:t>Coverage Detail</w:t>
            </w:r>
          </w:p>
        </w:tc>
        <w:tc>
          <w:tcPr>
            <w:tcW w:type="dxa" w:w="3312"/>
            <w:shd w:val="clear" w:color="auto" w:fill="003366"/>
          </w:tcPr>
          <w:p>
            <w:pPr>
              <w:jc w:val="center"/>
            </w:pPr>
            <w:r>
              <w:rPr>
                <w:rFonts w:ascii="Times New Roman" w:hAnsi="Times New Roman"/>
                <w:b/>
                <w:color w:val="FFFFFF"/>
                <w:sz w:val="22"/>
              </w:rPr>
              <w:t>Commercial Value</w:t>
            </w:r>
          </w:p>
        </w:tc>
      </w:tr>
      <w:tr>
        <w:tc>
          <w:tcPr>
            <w:tcW w:type="dxa" w:w="2016"/>
            <w:shd w:val="clear" w:color="auto" w:fill="F2F5F9"/>
          </w:tcPr>
          <w:p>
            <w:r>
              <w:rPr>
                <w:rFonts w:ascii="Times New Roman" w:hAnsi="Times New Roman"/>
                <w:b/>
                <w:color w:val="000000"/>
                <w:sz w:val="22"/>
              </w:rPr>
              <w:t>Hardware Warranty</w:t>
            </w:r>
          </w:p>
        </w:tc>
        <w:tc>
          <w:tcPr>
            <w:tcW w:type="dxa" w:w="4320"/>
            <w:shd w:val="clear" w:color="auto" w:fill="F2F5F9"/>
          </w:tcPr>
          <w:p>
            <w:r>
              <w:rPr>
                <w:rFonts w:ascii="Times New Roman" w:hAnsi="Times New Roman"/>
                <w:b w:val="0"/>
                <w:color w:val="000000"/>
                <w:sz w:val="22"/>
              </w:rPr>
              <w:t>Full parts and labour for all ROSA system components for 5 years from installation date</w:t>
            </w:r>
          </w:p>
        </w:tc>
        <w:tc>
          <w:tcPr>
            <w:tcW w:type="dxa" w:w="3312"/>
            <w:shd w:val="clear" w:color="auto" w:fill="F2F5F9"/>
          </w:tcPr>
          <w:p>
            <w:r>
              <w:rPr>
                <w:rFonts w:ascii="Times New Roman" w:hAnsi="Times New Roman"/>
                <w:b w:val="0"/>
                <w:color w:val="000000"/>
                <w:sz w:val="22"/>
              </w:rPr>
              <w:t>Removes capital risk for hospital CFO</w:t>
            </w:r>
          </w:p>
        </w:tc>
      </w:tr>
      <w:tr>
        <w:tc>
          <w:tcPr>
            <w:tcW w:type="dxa" w:w="2016"/>
            <w:shd w:val="clear" w:color="auto" w:fill="FFFFFF"/>
          </w:tcPr>
          <w:p>
            <w:r>
              <w:rPr>
                <w:rFonts w:ascii="Times New Roman" w:hAnsi="Times New Roman"/>
                <w:b/>
                <w:color w:val="000000"/>
                <w:sz w:val="22"/>
              </w:rPr>
              <w:t>Preventive Maintenance</w:t>
            </w:r>
          </w:p>
        </w:tc>
        <w:tc>
          <w:tcPr>
            <w:tcW w:type="dxa" w:w="4320"/>
            <w:shd w:val="clear" w:color="auto" w:fill="FFFFFF"/>
          </w:tcPr>
          <w:p>
            <w:r>
              <w:rPr>
                <w:rFonts w:ascii="Times New Roman" w:hAnsi="Times New Roman"/>
                <w:b w:val="0"/>
                <w:color w:val="000000"/>
                <w:sz w:val="22"/>
              </w:rPr>
              <w:t>Two scheduled PM visits per year, with certified ZB service engineer, documented with hospital</w:t>
            </w:r>
          </w:p>
        </w:tc>
        <w:tc>
          <w:tcPr>
            <w:tcW w:type="dxa" w:w="3312"/>
            <w:shd w:val="clear" w:color="auto" w:fill="FFFFFF"/>
          </w:tcPr>
          <w:p>
            <w:r>
              <w:rPr>
                <w:rFonts w:ascii="Times New Roman" w:hAnsi="Times New Roman"/>
                <w:b w:val="0"/>
                <w:color w:val="000000"/>
                <w:sz w:val="22"/>
              </w:rPr>
              <w:t>Demonstrates ongoing partnership; regulatory compliance support</w:t>
            </w:r>
          </w:p>
        </w:tc>
      </w:tr>
      <w:tr>
        <w:tc>
          <w:tcPr>
            <w:tcW w:type="dxa" w:w="2016"/>
            <w:shd w:val="clear" w:color="auto" w:fill="F2F5F9"/>
          </w:tcPr>
          <w:p>
            <w:r>
              <w:rPr>
                <w:rFonts w:ascii="Times New Roman" w:hAnsi="Times New Roman"/>
                <w:b/>
                <w:color w:val="000000"/>
                <w:sz w:val="22"/>
              </w:rPr>
              <w:t>Software Updates</w:t>
            </w:r>
          </w:p>
        </w:tc>
        <w:tc>
          <w:tcPr>
            <w:tcW w:type="dxa" w:w="4320"/>
            <w:shd w:val="clear" w:color="auto" w:fill="F2F5F9"/>
          </w:tcPr>
          <w:p>
            <w:r>
              <w:rPr>
                <w:rFonts w:ascii="Times New Roman" w:hAnsi="Times New Roman"/>
                <w:b w:val="0"/>
                <w:color w:val="000000"/>
                <w:sz w:val="22"/>
              </w:rPr>
              <w:t>All ROSA software and navigation platform updates included for 5 years at no additional charge</w:t>
            </w:r>
          </w:p>
        </w:tc>
        <w:tc>
          <w:tcPr>
            <w:tcW w:type="dxa" w:w="3312"/>
            <w:shd w:val="clear" w:color="auto" w:fill="F2F5F9"/>
          </w:tcPr>
          <w:p>
            <w:r>
              <w:rPr>
                <w:rFonts w:ascii="Times New Roman" w:hAnsi="Times New Roman"/>
                <w:b w:val="0"/>
                <w:color w:val="000000"/>
                <w:sz w:val="22"/>
              </w:rPr>
              <w:t>Ensures hospital always operates on latest protocol; removes upgrade negotiation</w:t>
            </w:r>
          </w:p>
        </w:tc>
      </w:tr>
      <w:tr>
        <w:tc>
          <w:tcPr>
            <w:tcW w:type="dxa" w:w="2016"/>
            <w:shd w:val="clear" w:color="auto" w:fill="FFFFFF"/>
          </w:tcPr>
          <w:p>
            <w:r>
              <w:rPr>
                <w:rFonts w:ascii="Times New Roman" w:hAnsi="Times New Roman"/>
                <w:b/>
                <w:color w:val="000000"/>
                <w:sz w:val="22"/>
              </w:rPr>
              <w:t>ROSA Optimize Access</w:t>
            </w:r>
          </w:p>
        </w:tc>
        <w:tc>
          <w:tcPr>
            <w:tcW w:type="dxa" w:w="4320"/>
            <w:shd w:val="clear" w:color="auto" w:fill="FFFFFF"/>
          </w:tcPr>
          <w:p>
            <w:r>
              <w:rPr>
                <w:rFonts w:ascii="Times New Roman" w:hAnsi="Times New Roman"/>
                <w:b w:val="0"/>
                <w:color w:val="000000"/>
                <w:sz w:val="22"/>
              </w:rPr>
              <w:t>Full ROSA Optimize programme access included for warranty duration — protocol documentation, case data platform, outcome reporting</w:t>
            </w:r>
          </w:p>
        </w:tc>
        <w:tc>
          <w:tcPr>
            <w:tcW w:type="dxa" w:w="3312"/>
            <w:shd w:val="clear" w:color="auto" w:fill="FFFFFF"/>
          </w:tcPr>
          <w:p>
            <w:r>
              <w:rPr>
                <w:rFonts w:ascii="Times New Roman" w:hAnsi="Times New Roman"/>
                <w:b w:val="0"/>
                <w:color w:val="000000"/>
                <w:sz w:val="22"/>
              </w:rPr>
              <w:t>Drives pull-through and outcomes evidence; differentiates from MAKO's closed system</w:t>
            </w:r>
          </w:p>
        </w:tc>
      </w:tr>
      <w:tr>
        <w:tc>
          <w:tcPr>
            <w:tcW w:type="dxa" w:w="2016"/>
            <w:shd w:val="clear" w:color="auto" w:fill="F2F5F9"/>
          </w:tcPr>
          <w:p>
            <w:r>
              <w:rPr>
                <w:rFonts w:ascii="Times New Roman" w:hAnsi="Times New Roman"/>
                <w:b/>
                <w:color w:val="000000"/>
                <w:sz w:val="22"/>
              </w:rPr>
              <w:t>mymobility Integration</w:t>
            </w:r>
          </w:p>
        </w:tc>
        <w:tc>
          <w:tcPr>
            <w:tcW w:type="dxa" w:w="4320"/>
            <w:shd w:val="clear" w:color="auto" w:fill="F2F5F9"/>
          </w:tcPr>
          <w:p>
            <w:r>
              <w:rPr>
                <w:rFonts w:ascii="Times New Roman" w:hAnsi="Times New Roman"/>
                <w:b w:val="0"/>
                <w:color w:val="000000"/>
                <w:sz w:val="22"/>
              </w:rPr>
              <w:t>mymobility digital patient engagement platform licence included for the warranty period — pre-op education, post-op rehabilitation tracking, surgeon dashboard</w:t>
            </w:r>
          </w:p>
        </w:tc>
        <w:tc>
          <w:tcPr>
            <w:tcW w:type="dxa" w:w="3312"/>
            <w:shd w:val="clear" w:color="auto" w:fill="F2F5F9"/>
          </w:tcPr>
          <w:p>
            <w:r>
              <w:rPr>
                <w:rFonts w:ascii="Times New Roman" w:hAnsi="Times New Roman"/>
                <w:b w:val="0"/>
                <w:color w:val="000000"/>
                <w:sz w:val="22"/>
              </w:rPr>
              <w:t>Differentiates ZB as a full care pathway partner, not a hardware vendor</w:t>
            </w:r>
          </w:p>
        </w:tc>
      </w:tr>
      <w:tr>
        <w:tc>
          <w:tcPr>
            <w:tcW w:type="dxa" w:w="2016"/>
            <w:shd w:val="clear" w:color="auto" w:fill="FFFFFF"/>
          </w:tcPr>
          <w:p>
            <w:r>
              <w:rPr>
                <w:rFonts w:ascii="Times New Roman" w:hAnsi="Times New Roman"/>
                <w:b/>
                <w:color w:val="000000"/>
                <w:sz w:val="22"/>
              </w:rPr>
              <w:t>Response SLA</w:t>
            </w:r>
          </w:p>
        </w:tc>
        <w:tc>
          <w:tcPr>
            <w:tcW w:type="dxa" w:w="4320"/>
            <w:shd w:val="clear" w:color="auto" w:fill="FFFFFF"/>
          </w:tcPr>
          <w:p>
            <w:r>
              <w:rPr>
                <w:rFonts w:ascii="Times New Roman" w:hAnsi="Times New Roman"/>
                <w:b w:val="0"/>
                <w:color w:val="000000"/>
                <w:sz w:val="22"/>
              </w:rPr>
              <w:t>4-hour remote response; 24-hour on-site response for critical failures; 48-hour full restoration guarantee</w:t>
            </w:r>
          </w:p>
        </w:tc>
        <w:tc>
          <w:tcPr>
            <w:tcW w:type="dxa" w:w="3312"/>
            <w:shd w:val="clear" w:color="auto" w:fill="FFFFFF"/>
          </w:tcPr>
          <w:p>
            <w:r>
              <w:rPr>
                <w:rFonts w:ascii="Times New Roman" w:hAnsi="Times New Roman"/>
                <w:b w:val="0"/>
                <w:color w:val="000000"/>
                <w:sz w:val="22"/>
              </w:rPr>
              <w:t>Addresses group hospital concern about OR downtime risk</w:t>
            </w:r>
          </w:p>
        </w:tc>
      </w:tr>
      <w:tr>
        <w:tc>
          <w:tcPr>
            <w:tcW w:type="dxa" w:w="2016"/>
            <w:shd w:val="clear" w:color="auto" w:fill="F2F5F9"/>
          </w:tcPr>
          <w:p>
            <w:r>
              <w:rPr>
                <w:rFonts w:ascii="Times New Roman" w:hAnsi="Times New Roman"/>
                <w:b/>
                <w:color w:val="000000"/>
                <w:sz w:val="22"/>
              </w:rPr>
              <w:t>Annual Clinical Review</w:t>
            </w:r>
          </w:p>
        </w:tc>
        <w:tc>
          <w:tcPr>
            <w:tcW w:type="dxa" w:w="4320"/>
            <w:shd w:val="clear" w:color="auto" w:fill="F2F5F9"/>
          </w:tcPr>
          <w:p>
            <w:r>
              <w:rPr>
                <w:rFonts w:ascii="Times New Roman" w:hAnsi="Times New Roman"/>
                <w:b w:val="0"/>
                <w:color w:val="000000"/>
                <w:sz w:val="22"/>
              </w:rPr>
              <w:t>Annual outcomes review meeting with hospital clinical leadership using ROSA case data and implant outcome metrics</w:t>
            </w:r>
          </w:p>
        </w:tc>
        <w:tc>
          <w:tcPr>
            <w:tcW w:type="dxa" w:w="3312"/>
            <w:shd w:val="clear" w:color="auto" w:fill="F2F5F9"/>
          </w:tcPr>
          <w:p>
            <w:r>
              <w:rPr>
                <w:rFonts w:ascii="Times New Roman" w:hAnsi="Times New Roman"/>
                <w:b w:val="0"/>
                <w:color w:val="000000"/>
                <w:sz w:val="22"/>
              </w:rPr>
              <w:t>Deepens institutional relationship; creates evidence for KOL and reference selling</w:t>
            </w:r>
          </w:p>
        </w:tc>
      </w:tr>
    </w:tbl>
    <w:p/>
    <w:p>
      <w:pPr>
        <w:spacing w:before="240" w:after="60" w:line="360" w:lineRule="exact"/>
      </w:pPr>
      <w:r>
        <w:rPr>
          <w:rFonts w:ascii="Times New Roman" w:hAnsi="Times New Roman"/>
          <w:b/>
          <w:color w:val="003366"/>
          <w:sz w:val="24"/>
        </w:rPr>
        <w:t>3.3  Warranty Tier Options — Field Promotion Policy</w:t>
      </w:r>
    </w:p>
    <w:p>
      <w:pPr>
        <w:spacing w:after="160" w:before="0" w:line="360" w:lineRule="exact"/>
        <w:jc w:val="both"/>
      </w:pPr>
      <w:r>
        <w:rPr>
          <w:rFonts w:ascii="Times New Roman" w:hAnsi="Times New Roman"/>
          <w:color w:val="000000"/>
          <w:sz w:val="24"/>
        </w:rPr>
        <w:t>Zimmer Biomet India's ROSA warranty programme is available in four coverage durations — 1-year (Standard), 2-year (Extended), 3-year (Enhanced), and 5-year (Comprehensive). All four tiers are available and governed by internal pricing policy. They can each be structured as part of a capital acquisition or a per-case placement arrangement. However, the commercial promotion policy is unambiguous: only the 5-Year Comprehensive Warranty Programme is to be presented, named, or promoted in any external-facing context — including field conversations, corporate hospital proposals, group office presentations, and KOL briefings.</w:t>
      </w:r>
    </w:p>
    <w:tbl>
      <w:tblPr>
        <w:tblStyle w:val="TableGrid"/>
        <w:tblW w:type="auto" w:w="0"/>
        <w:tblLook w:firstColumn="1" w:firstRow="1" w:lastColumn="0" w:lastRow="0" w:noHBand="0" w:noVBand="1" w:val="04A0"/>
      </w:tblPr>
      <w:tblGrid>
        <w:gridCol w:w="2160"/>
        <w:gridCol w:w="2160"/>
        <w:gridCol w:w="2160"/>
        <w:gridCol w:w="2160"/>
      </w:tblGrid>
      <w:tr>
        <w:tc>
          <w:tcPr>
            <w:tcW w:type="dxa" w:w="1728"/>
            <w:shd w:val="clear" w:color="auto" w:fill="003366"/>
          </w:tcPr>
          <w:p>
            <w:pPr>
              <w:jc w:val="center"/>
            </w:pPr>
            <w:r>
              <w:rPr>
                <w:rFonts w:ascii="Times New Roman" w:hAnsi="Times New Roman"/>
                <w:b/>
                <w:color w:val="FFFFFF"/>
                <w:sz w:val="22"/>
              </w:rPr>
              <w:t>Tier</w:t>
            </w:r>
          </w:p>
        </w:tc>
        <w:tc>
          <w:tcPr>
            <w:tcW w:type="dxa" w:w="1296"/>
            <w:shd w:val="clear" w:color="auto" w:fill="003366"/>
          </w:tcPr>
          <w:p>
            <w:pPr>
              <w:jc w:val="center"/>
            </w:pPr>
            <w:r>
              <w:rPr>
                <w:rFonts w:ascii="Times New Roman" w:hAnsi="Times New Roman"/>
                <w:b/>
                <w:color w:val="FFFFFF"/>
                <w:sz w:val="22"/>
              </w:rPr>
              <w:t>Duration</w:t>
            </w:r>
          </w:p>
        </w:tc>
        <w:tc>
          <w:tcPr>
            <w:tcW w:type="dxa" w:w="3600"/>
            <w:shd w:val="clear" w:color="auto" w:fill="003366"/>
          </w:tcPr>
          <w:p>
            <w:pPr>
              <w:jc w:val="center"/>
            </w:pPr>
            <w:r>
              <w:rPr>
                <w:rFonts w:ascii="Times New Roman" w:hAnsi="Times New Roman"/>
                <w:b/>
                <w:color w:val="FFFFFF"/>
                <w:sz w:val="22"/>
              </w:rPr>
              <w:t>Coverage Scope</w:t>
            </w:r>
          </w:p>
        </w:tc>
        <w:tc>
          <w:tcPr>
            <w:tcW w:type="dxa" w:w="3024"/>
            <w:shd w:val="clear" w:color="auto" w:fill="003366"/>
          </w:tcPr>
          <w:p>
            <w:pPr>
              <w:jc w:val="center"/>
            </w:pPr>
            <w:r>
              <w:rPr>
                <w:rFonts w:ascii="Times New Roman" w:hAnsi="Times New Roman"/>
                <w:b/>
                <w:color w:val="FFFFFF"/>
                <w:sz w:val="22"/>
              </w:rPr>
              <w:t>Field Promotion Policy</w:t>
            </w:r>
          </w:p>
        </w:tc>
      </w:tr>
      <w:tr>
        <w:tc>
          <w:tcPr>
            <w:tcW w:type="dxa" w:w="1728"/>
            <w:shd w:val="clear" w:color="auto" w:fill="F2F5F9"/>
          </w:tcPr>
          <w:p>
            <w:r>
              <w:rPr>
                <w:rFonts w:ascii="Times New Roman" w:hAnsi="Times New Roman"/>
                <w:b/>
                <w:color w:val="000000"/>
                <w:sz w:val="22"/>
              </w:rPr>
              <w:t>Standard</w:t>
            </w:r>
          </w:p>
        </w:tc>
        <w:tc>
          <w:tcPr>
            <w:tcW w:type="dxa" w:w="1296"/>
            <w:shd w:val="clear" w:color="auto" w:fill="F2F5F9"/>
          </w:tcPr>
          <w:p>
            <w:r>
              <w:rPr>
                <w:rFonts w:ascii="Times New Roman" w:hAnsi="Times New Roman"/>
                <w:b w:val="0"/>
                <w:color w:val="000000"/>
                <w:sz w:val="22"/>
              </w:rPr>
              <w:t>1 Year</w:t>
            </w:r>
          </w:p>
        </w:tc>
        <w:tc>
          <w:tcPr>
            <w:tcW w:type="dxa" w:w="3600"/>
            <w:shd w:val="clear" w:color="auto" w:fill="F2F5F9"/>
          </w:tcPr>
          <w:p>
            <w:r>
              <w:rPr>
                <w:rFonts w:ascii="Times New Roman" w:hAnsi="Times New Roman"/>
                <w:b w:val="0"/>
                <w:color w:val="000000"/>
                <w:sz w:val="22"/>
              </w:rPr>
              <w:t>Hardware warranty, response SLA only</w:t>
            </w:r>
          </w:p>
        </w:tc>
        <w:tc>
          <w:tcPr>
            <w:tcW w:type="dxa" w:w="3024"/>
            <w:shd w:val="clear" w:color="auto" w:fill="F2F5F9"/>
          </w:tcPr>
          <w:p>
            <w:r>
              <w:rPr>
                <w:rFonts w:ascii="Times New Roman" w:hAnsi="Times New Roman"/>
                <w:b w:val="0"/>
                <w:color w:val="000000"/>
                <w:sz w:val="22"/>
              </w:rPr>
              <w:t>Internal use only — do not proactively offer</w:t>
            </w:r>
          </w:p>
        </w:tc>
      </w:tr>
      <w:tr>
        <w:tc>
          <w:tcPr>
            <w:tcW w:type="dxa" w:w="1728"/>
            <w:shd w:val="clear" w:color="auto" w:fill="FFFFFF"/>
          </w:tcPr>
          <w:p>
            <w:r>
              <w:rPr>
                <w:rFonts w:ascii="Times New Roman" w:hAnsi="Times New Roman"/>
                <w:b/>
                <w:color w:val="000000"/>
                <w:sz w:val="22"/>
              </w:rPr>
              <w:t>Extended</w:t>
            </w:r>
          </w:p>
        </w:tc>
        <w:tc>
          <w:tcPr>
            <w:tcW w:type="dxa" w:w="1296"/>
            <w:shd w:val="clear" w:color="auto" w:fill="FFFFFF"/>
          </w:tcPr>
          <w:p>
            <w:r>
              <w:rPr>
                <w:rFonts w:ascii="Times New Roman" w:hAnsi="Times New Roman"/>
                <w:b w:val="0"/>
                <w:color w:val="000000"/>
                <w:sz w:val="22"/>
              </w:rPr>
              <w:t>2 Years</w:t>
            </w:r>
          </w:p>
        </w:tc>
        <w:tc>
          <w:tcPr>
            <w:tcW w:type="dxa" w:w="3600"/>
            <w:shd w:val="clear" w:color="auto" w:fill="FFFFFF"/>
          </w:tcPr>
          <w:p>
            <w:r>
              <w:rPr>
                <w:rFonts w:ascii="Times New Roman" w:hAnsi="Times New Roman"/>
                <w:b w:val="0"/>
                <w:color w:val="000000"/>
                <w:sz w:val="22"/>
              </w:rPr>
              <w:t>Hardware, scheduled PM visits, SLA</w:t>
            </w:r>
          </w:p>
        </w:tc>
        <w:tc>
          <w:tcPr>
            <w:tcW w:type="dxa" w:w="3024"/>
            <w:shd w:val="clear" w:color="auto" w:fill="FFFFFF"/>
          </w:tcPr>
          <w:p>
            <w:r>
              <w:rPr>
                <w:rFonts w:ascii="Times New Roman" w:hAnsi="Times New Roman"/>
                <w:b w:val="0"/>
                <w:color w:val="000000"/>
                <w:sz w:val="22"/>
              </w:rPr>
              <w:t>Internal use only — do not proactively offer</w:t>
            </w:r>
          </w:p>
        </w:tc>
      </w:tr>
      <w:tr>
        <w:tc>
          <w:tcPr>
            <w:tcW w:type="dxa" w:w="1728"/>
            <w:shd w:val="clear" w:color="auto" w:fill="F2F5F9"/>
          </w:tcPr>
          <w:p>
            <w:r>
              <w:rPr>
                <w:rFonts w:ascii="Times New Roman" w:hAnsi="Times New Roman"/>
                <w:b/>
                <w:color w:val="000000"/>
                <w:sz w:val="22"/>
              </w:rPr>
              <w:t>Enhanced</w:t>
            </w:r>
          </w:p>
        </w:tc>
        <w:tc>
          <w:tcPr>
            <w:tcW w:type="dxa" w:w="1296"/>
            <w:shd w:val="clear" w:color="auto" w:fill="F2F5F9"/>
          </w:tcPr>
          <w:p>
            <w:r>
              <w:rPr>
                <w:rFonts w:ascii="Times New Roman" w:hAnsi="Times New Roman"/>
                <w:b w:val="0"/>
                <w:color w:val="000000"/>
                <w:sz w:val="22"/>
              </w:rPr>
              <w:t>3 Years</w:t>
            </w:r>
          </w:p>
        </w:tc>
        <w:tc>
          <w:tcPr>
            <w:tcW w:type="dxa" w:w="3600"/>
            <w:shd w:val="clear" w:color="auto" w:fill="F2F5F9"/>
          </w:tcPr>
          <w:p>
            <w:r>
              <w:rPr>
                <w:rFonts w:ascii="Times New Roman" w:hAnsi="Times New Roman"/>
                <w:b w:val="0"/>
                <w:color w:val="000000"/>
                <w:sz w:val="22"/>
              </w:rPr>
              <w:t>Hardware, PM, software updates, SLA</w:t>
            </w:r>
          </w:p>
        </w:tc>
        <w:tc>
          <w:tcPr>
            <w:tcW w:type="dxa" w:w="3024"/>
            <w:shd w:val="clear" w:color="auto" w:fill="F2F5F9"/>
          </w:tcPr>
          <w:p>
            <w:r>
              <w:rPr>
                <w:rFonts w:ascii="Times New Roman" w:hAnsi="Times New Roman"/>
                <w:b w:val="0"/>
                <w:color w:val="000000"/>
                <w:sz w:val="22"/>
              </w:rPr>
              <w:t>Available on request — do not lead with this option</w:t>
            </w:r>
          </w:p>
        </w:tc>
      </w:tr>
      <w:tr>
        <w:tc>
          <w:tcPr>
            <w:tcW w:type="dxa" w:w="1728"/>
            <w:shd w:val="clear" w:color="auto" w:fill="FFFFFF"/>
          </w:tcPr>
          <w:p>
            <w:r>
              <w:rPr>
                <w:rFonts w:ascii="Times New Roman" w:hAnsi="Times New Roman"/>
                <w:b/>
                <w:color w:val="000000"/>
                <w:sz w:val="22"/>
              </w:rPr>
              <w:t>Comprehensive</w:t>
            </w:r>
          </w:p>
        </w:tc>
        <w:tc>
          <w:tcPr>
            <w:tcW w:type="dxa" w:w="1296"/>
            <w:shd w:val="clear" w:color="auto" w:fill="FFFFFF"/>
          </w:tcPr>
          <w:p>
            <w:r>
              <w:rPr>
                <w:rFonts w:ascii="Times New Roman" w:hAnsi="Times New Roman"/>
                <w:b w:val="0"/>
                <w:color w:val="000000"/>
                <w:sz w:val="22"/>
              </w:rPr>
              <w:t>5 Years</w:t>
            </w:r>
          </w:p>
        </w:tc>
        <w:tc>
          <w:tcPr>
            <w:tcW w:type="dxa" w:w="3600"/>
            <w:shd w:val="clear" w:color="auto" w:fill="FFFFFF"/>
          </w:tcPr>
          <w:p>
            <w:r>
              <w:rPr>
                <w:rFonts w:ascii="Times New Roman" w:hAnsi="Times New Roman"/>
                <w:b w:val="0"/>
                <w:color w:val="000000"/>
                <w:sz w:val="22"/>
              </w:rPr>
              <w:t>Full programme: hardware, PM, software updates, ROSA Optimize, mymobility, annual clinical review</w:t>
            </w:r>
          </w:p>
        </w:tc>
        <w:tc>
          <w:tcPr>
            <w:tcW w:type="dxa" w:w="3024"/>
            <w:shd w:val="clear" w:color="auto" w:fill="FFFFFF"/>
          </w:tcPr>
          <w:p>
            <w:r>
              <w:rPr>
                <w:rFonts w:ascii="Times New Roman" w:hAnsi="Times New Roman"/>
                <w:b w:val="0"/>
                <w:color w:val="000000"/>
                <w:sz w:val="22"/>
              </w:rPr>
              <w:t>PROMOTE — only tier to be named and sold externally</w:t>
            </w:r>
          </w:p>
        </w:tc>
      </w:tr>
    </w:tbl>
    <w:p/>
    <w:p>
      <w:pPr>
        <w:spacing w:after="160" w:before="0" w:line="360" w:lineRule="exact"/>
        <w:jc w:val="both"/>
      </w:pPr>
      <w:r>
        <w:rPr>
          <w:rFonts w:ascii="Times New Roman" w:hAnsi="Times New Roman"/>
          <w:color w:val="000000"/>
          <w:sz w:val="24"/>
        </w:rPr>
        <w:t>The 5-year tier is commercially superior not because it is the longest — but because it is the only tier that includes ROSA Optimize access, mymobility integration, and the annual clinical review that corporate hospital chains require to justify a capital commitment at group level. Shorter tiers are not comparable products; they are bare service contracts. If procurement requests a shorter term, the approved field response is: "Shorter service options exist within our framework, but the programme we recommend — and the only one that includes ROSA Optimize, mymobility, and annual outcomes review — is the 5-year programme. That is the version that supports the business case your finance committee will need." This positions the 5-year warranty as the recommendation, not as upselling, and keeps the conversation anchored on outcomes rather than contract length.</w:t>
      </w:r>
    </w:p>
    <w:p>
      <w:pPr>
        <w:spacing w:before="120" w:after="200" w:line="320" w:lineRule="exact"/>
        <w:ind w:left="360" w:right="360"/>
        <w:pBdr>
          <w:left w:val="single" w:sz="16" w:space="6" w:color="C0392B"/>
        </w:pBdr>
      </w:pPr>
      <w:r>
        <w:rPr>
          <w:rFonts w:ascii="Times New Roman" w:hAnsi="Times New Roman"/>
          <w:i/>
          <w:color w:val="C0392B"/>
          <w:sz w:val="24"/>
        </w:rPr>
        <w:t>Field instruction: Lead with 5 years. Never proactively offer a shorter warranty tier. Any deviation from the 5-year programme in a corporate hospital proposal requires Commercial Head approval before submission.</w:t>
      </w:r>
    </w:p>
    <w:p>
      <w:pPr>
        <w:spacing w:before="240" w:after="60" w:line="360" w:lineRule="exact"/>
      </w:pPr>
      <w:r>
        <w:rPr>
          <w:rFonts w:ascii="Times New Roman" w:hAnsi="Times New Roman"/>
          <w:b/>
          <w:color w:val="003366"/>
          <w:sz w:val="24"/>
        </w:rPr>
        <w:t>3.4  Positioning the Warranty in the Sales Conversation</w:t>
      </w:r>
    </w:p>
    <w:p>
      <w:pPr>
        <w:spacing w:after="160" w:before="0" w:line="360" w:lineRule="exact"/>
        <w:jc w:val="both"/>
      </w:pPr>
      <w:r>
        <w:rPr>
          <w:rFonts w:ascii="Times New Roman" w:hAnsi="Times New Roman"/>
          <w:color w:val="000000"/>
          <w:sz w:val="24"/>
        </w:rPr>
        <w:t>The 5-year warranty is not presented as a service contract — it is presented as a programme membership. The language at the CMO and group office level is: "ROSA does not come as a piece of equipment. It comes as a five-year clinical partnership. Your team has a dedicated service pathway, your surgeons have continuous access to the latest protocol, your patients have a digital care tool, and your institution has annual outcomes reporting from day one." This reframes the capital acquisition as an institutional capability investment.</w:t>
      </w:r>
    </w:p>
    <w:p>
      <w:pPr>
        <w:spacing w:before="120" w:after="200" w:line="320" w:lineRule="exact"/>
        <w:ind w:left="360" w:right="360"/>
        <w:pBdr>
          <w:left w:val="single" w:sz="16" w:space="6" w:color="1A7A4A"/>
        </w:pBdr>
      </w:pPr>
      <w:r>
        <w:rPr>
          <w:rFonts w:ascii="Times New Roman" w:hAnsi="Times New Roman"/>
          <w:i/>
          <w:color w:val="1A7A4A"/>
          <w:sz w:val="24"/>
        </w:rPr>
        <w:t>Competitive advantage: Stryker MAKO requires separate service contracts, CT-based planning fees, and has no equivalent to mymobility or ROSA Optimize. The 5-year programme creates a total value gap that hardware specifications alone cannot match.</w:t>
      </w:r>
    </w:p>
    <w:p>
      <w:pPr>
        <w:spacing w:before="360" w:after="80" w:line="400" w:lineRule="exact"/>
        <w:pBdr>
          <w:bottom w:val="single" w:sz="8" w:space="2" w:color="003366"/>
        </w:pBdr>
      </w:pPr>
      <w:r>
        <w:rPr>
          <w:rFonts w:ascii="Times New Roman" w:hAnsi="Times New Roman"/>
          <w:b/>
          <w:color w:val="003366"/>
          <w:sz w:val="26"/>
        </w:rPr>
        <w:t>SECTION 4: ROSA BUNDLED OFFER ARCHITECTURE — ROSA + ACCESSORIES + MYMOBILITY</w:t>
      </w:r>
    </w:p>
    <w:p>
      <w:pPr>
        <w:spacing w:after="160" w:before="0" w:line="360" w:lineRule="exact"/>
        <w:jc w:val="both"/>
      </w:pPr>
      <w:r>
        <w:rPr>
          <w:rFonts w:ascii="Times New Roman" w:hAnsi="Times New Roman"/>
          <w:color w:val="000000"/>
          <w:sz w:val="24"/>
        </w:rPr>
        <w:t>The bundled offer is the commercial vehicle that unifies the Implant and ROSA value proposition for corporate hospitals. It answers the group office's most important question — "what do we get and at what cost?" — before they ask it. 42 accounts are currently waiting to receive a proposal. The bundle has four layers, each designed to serve a different stakeholder at the account.</w:t>
      </w:r>
    </w:p>
    <w:p>
      <w:pPr>
        <w:spacing w:before="240" w:after="60" w:line="360" w:lineRule="exact"/>
      </w:pPr>
      <w:r>
        <w:rPr>
          <w:rFonts w:ascii="Times New Roman" w:hAnsi="Times New Roman"/>
          <w:b/>
          <w:color w:val="003366"/>
          <w:sz w:val="24"/>
        </w:rPr>
        <w:t>4.1  Bundle Structure — Four Layers</w:t>
      </w:r>
    </w:p>
    <w:p>
      <w:pPr>
        <w:spacing w:before="160" w:after="40" w:line="320" w:lineRule="exact"/>
      </w:pPr>
      <w:r>
        <w:rPr>
          <w:rFonts w:ascii="Times New Roman" w:hAnsi="Times New Roman"/>
          <w:b/>
          <w:i/>
          <w:color w:val="000000"/>
          <w:sz w:val="24"/>
        </w:rPr>
        <w:t>Layer 1 — ROSA Platform (Capital or Placement Model)</w:t>
      </w:r>
    </w:p>
    <w:p>
      <w:pPr>
        <w:spacing w:after="160" w:before="0" w:line="360" w:lineRule="exact"/>
        <w:jc w:val="both"/>
      </w:pPr>
      <w:r>
        <w:rPr>
          <w:rFonts w:ascii="Times New Roman" w:hAnsi="Times New Roman"/>
          <w:color w:val="000000"/>
          <w:sz w:val="24"/>
        </w:rPr>
        <w:t>The ROSA Knee system is available in two commercial models to accommodate different hospital capital structures. The outright acquisition model is appropriate for hospitals with a capex budget and a volume commitment. The per-case placement model (ROSA installed at no upfront cost, fee per procedure) is appropriate for corporate chains that prefer operational expenditure and where procedure volume can be contractually anchored.</w:t>
      </w:r>
    </w:p>
    <w:p>
      <w:pPr>
        <w:spacing w:before="160" w:after="40" w:line="320" w:lineRule="exact"/>
      </w:pPr>
      <w:r>
        <w:rPr>
          <w:rFonts w:ascii="Times New Roman" w:hAnsi="Times New Roman"/>
          <w:b/>
          <w:i/>
          <w:color w:val="000000"/>
          <w:sz w:val="24"/>
        </w:rPr>
        <w:t>Layer 2 — Implant Contract (Volume-Linked)</w:t>
      </w:r>
    </w:p>
    <w:p>
      <w:pPr>
        <w:spacing w:after="160" w:before="0" w:line="360" w:lineRule="exact"/>
        <w:jc w:val="both"/>
      </w:pPr>
      <w:r>
        <w:rPr>
          <w:rFonts w:ascii="Times New Roman" w:hAnsi="Times New Roman"/>
          <w:color w:val="000000"/>
          <w:sz w:val="24"/>
        </w:rPr>
        <w:t>A knee implant supply agreement is structured alongside the ROSA placement. The agreement covers the implant portfolio used in ROSA cases (Persona IQ, Persona, Nexgen) with volume-tiered pricing: the higher the ROSA case volume, the more competitive the implant ASP. This creates a built-in incentive for the hospital to grow ROSA utilisation — which is precisely the behaviour ZB needs to drive. The implant contract is signed by both the ROSA team and the implant account manager jointly.</w:t>
      </w:r>
    </w:p>
    <w:p>
      <w:pPr>
        <w:spacing w:before="160" w:after="40" w:line="320" w:lineRule="exact"/>
      </w:pPr>
      <w:r>
        <w:rPr>
          <w:rFonts w:ascii="Times New Roman" w:hAnsi="Times New Roman"/>
          <w:b/>
          <w:i/>
          <w:color w:val="000000"/>
          <w:sz w:val="24"/>
        </w:rPr>
        <w:t>Layer 3 — Accessories and Consumables Package</w:t>
      </w:r>
    </w:p>
    <w:p>
      <w:pPr>
        <w:spacing w:after="160" w:before="0" w:line="360" w:lineRule="exact"/>
        <w:jc w:val="both"/>
      </w:pPr>
      <w:r>
        <w:rPr>
          <w:rFonts w:ascii="Times New Roman" w:hAnsi="Times New Roman"/>
          <w:color w:val="000000"/>
          <w:sz w:val="24"/>
        </w:rPr>
        <w:t>Every ROSA case requires a set of surgical accessories and disposables. Bundling these into a single annual or quarterly supply agreement with pre-agreed pricing removes the friction of case-by-case procurement and gives the hospital's materials management team a predictable cost line. The accessories bundle covers: single-use registration arrays, sterile draping, ROSA calibration tools and ROSA Optimize documentation kits. Accessories bundling also creates a stocking arrangement that keeps ZB product physically present in the hospital, which is a structural occupancy advantage.</w:t>
      </w:r>
    </w:p>
    <w:p>
      <w:pPr>
        <w:spacing w:before="160" w:after="40" w:line="320" w:lineRule="exact"/>
      </w:pPr>
      <w:r>
        <w:rPr>
          <w:rFonts w:ascii="Times New Roman" w:hAnsi="Times New Roman"/>
          <w:b/>
          <w:i/>
          <w:color w:val="000000"/>
          <w:sz w:val="24"/>
        </w:rPr>
        <w:t>Layer 4 — mymobility Digital Care Pathway</w:t>
      </w:r>
    </w:p>
    <w:p>
      <w:pPr>
        <w:spacing w:after="160" w:before="0" w:line="360" w:lineRule="exact"/>
        <w:jc w:val="both"/>
      </w:pPr>
      <w:r>
        <w:rPr>
          <w:rFonts w:ascii="Times New Roman" w:hAnsi="Times New Roman"/>
          <w:color w:val="000000"/>
          <w:sz w:val="24"/>
        </w:rPr>
        <w:t>mymobility is Zimmer Biomet's digital patient engagement platform — a clinician-prescribed app used pre-operatively for patient education and post-operatively for home rehabilitation tracking, with a surgeon-facing dashboard for remote monitoring and outcome recording. Including mymobility in the bundle achieves three things: it differentiates ZB as the only orthopaedic partner offering an end-to-end digital care pathway alongside the robotic system; it generates patient outcome data that strengthens the KOL and CMO conversation; and it appeals directly to corporate hospital chains that are investing in digital health credentials and NABH/JCI accreditation narratives.</w:t>
      </w:r>
    </w:p>
    <w:p>
      <w:pPr>
        <w:spacing w:before="120" w:after="200" w:line="320" w:lineRule="exact"/>
        <w:ind w:left="360" w:right="360"/>
        <w:pBdr>
          <w:left w:val="single" w:sz="16" w:space="6" w:color="1A7A4A"/>
        </w:pBdr>
      </w:pPr>
      <w:r>
        <w:rPr>
          <w:rFonts w:ascii="Times New Roman" w:hAnsi="Times New Roman"/>
          <w:i/>
          <w:color w:val="1A7A4A"/>
          <w:sz w:val="24"/>
        </w:rPr>
        <w:t>No comparable bundled digital care offering exists from Stryker MAKO in the Indian market. mymobility is a category differentiator — it should be named in every ROSA proposal to corporate hospitals.</w:t>
      </w:r>
    </w:p>
    <w:p>
      <w:pPr>
        <w:spacing w:before="240" w:after="60" w:line="360" w:lineRule="exact"/>
      </w:pPr>
      <w:r>
        <w:rPr>
          <w:rFonts w:ascii="Times New Roman" w:hAnsi="Times New Roman"/>
          <w:b/>
          <w:color w:val="003366"/>
          <w:sz w:val="24"/>
        </w:rPr>
        <w:t>4.2  Bundle Offer Summary Table</w:t>
      </w:r>
    </w:p>
    <w:tbl>
      <w:tblPr>
        <w:tblStyle w:val="TableGrid"/>
        <w:tblW w:type="auto" w:w="0"/>
        <w:tblLook w:firstColumn="1" w:firstRow="1" w:lastColumn="0" w:lastRow="0" w:noHBand="0" w:noVBand="1" w:val="04A0"/>
      </w:tblPr>
      <w:tblGrid>
        <w:gridCol w:w="2160"/>
        <w:gridCol w:w="2160"/>
        <w:gridCol w:w="2160"/>
        <w:gridCol w:w="2160"/>
      </w:tblGrid>
      <w:tr>
        <w:tc>
          <w:tcPr>
            <w:tcW w:type="dxa" w:w="1872"/>
            <w:shd w:val="clear" w:color="auto" w:fill="003366"/>
          </w:tcPr>
          <w:p>
            <w:pPr>
              <w:jc w:val="center"/>
            </w:pPr>
            <w:r>
              <w:rPr>
                <w:rFonts w:ascii="Times New Roman" w:hAnsi="Times New Roman"/>
                <w:b/>
                <w:color w:val="FFFFFF"/>
                <w:sz w:val="22"/>
              </w:rPr>
              <w:t>Bundle Component</w:t>
            </w:r>
          </w:p>
        </w:tc>
        <w:tc>
          <w:tcPr>
            <w:tcW w:type="dxa" w:w="3168"/>
            <w:shd w:val="clear" w:color="auto" w:fill="003366"/>
          </w:tcPr>
          <w:p>
            <w:pPr>
              <w:jc w:val="center"/>
            </w:pPr>
            <w:r>
              <w:rPr>
                <w:rFonts w:ascii="Times New Roman" w:hAnsi="Times New Roman"/>
                <w:b/>
                <w:color w:val="FFFFFF"/>
                <w:sz w:val="22"/>
              </w:rPr>
              <w:t>What Is Included</w:t>
            </w:r>
          </w:p>
        </w:tc>
        <w:tc>
          <w:tcPr>
            <w:tcW w:type="dxa" w:w="2160"/>
            <w:shd w:val="clear" w:color="auto" w:fill="003366"/>
          </w:tcPr>
          <w:p>
            <w:pPr>
              <w:jc w:val="center"/>
            </w:pPr>
            <w:r>
              <w:rPr>
                <w:rFonts w:ascii="Times New Roman" w:hAnsi="Times New Roman"/>
                <w:b/>
                <w:color w:val="FFFFFF"/>
                <w:sz w:val="22"/>
              </w:rPr>
              <w:t>Who It Addresses</w:t>
            </w:r>
          </w:p>
        </w:tc>
        <w:tc>
          <w:tcPr>
            <w:tcW w:type="dxa" w:w="3168"/>
            <w:shd w:val="clear" w:color="auto" w:fill="003366"/>
          </w:tcPr>
          <w:p>
            <w:pPr>
              <w:jc w:val="center"/>
            </w:pPr>
            <w:r>
              <w:rPr>
                <w:rFonts w:ascii="Times New Roman" w:hAnsi="Times New Roman"/>
                <w:b/>
                <w:color w:val="FFFFFF"/>
                <w:sz w:val="22"/>
              </w:rPr>
              <w:t>Competitive Differentiation</w:t>
            </w:r>
          </w:p>
        </w:tc>
      </w:tr>
      <w:tr>
        <w:tc>
          <w:tcPr>
            <w:tcW w:type="dxa" w:w="1872"/>
            <w:shd w:val="clear" w:color="auto" w:fill="F2F5F9"/>
          </w:tcPr>
          <w:p>
            <w:r>
              <w:rPr>
                <w:rFonts w:ascii="Times New Roman" w:hAnsi="Times New Roman"/>
                <w:b/>
                <w:color w:val="000000"/>
                <w:sz w:val="22"/>
              </w:rPr>
              <w:t>ROSA Knee System</w:t>
            </w:r>
          </w:p>
        </w:tc>
        <w:tc>
          <w:tcPr>
            <w:tcW w:type="dxa" w:w="3168"/>
            <w:shd w:val="clear" w:color="auto" w:fill="F2F5F9"/>
          </w:tcPr>
          <w:p>
            <w:r>
              <w:rPr>
                <w:rFonts w:ascii="Times New Roman" w:hAnsi="Times New Roman"/>
                <w:b w:val="0"/>
                <w:color w:val="000000"/>
                <w:sz w:val="22"/>
              </w:rPr>
              <w:t>Full robotic platform, installation, commissioning, 5-year warranty programme</w:t>
            </w:r>
          </w:p>
        </w:tc>
        <w:tc>
          <w:tcPr>
            <w:tcW w:type="dxa" w:w="2160"/>
            <w:shd w:val="clear" w:color="auto" w:fill="F2F5F9"/>
          </w:tcPr>
          <w:p>
            <w:r>
              <w:rPr>
                <w:rFonts w:ascii="Times New Roman" w:hAnsi="Times New Roman"/>
                <w:b w:val="0"/>
                <w:color w:val="000000"/>
                <w:sz w:val="22"/>
              </w:rPr>
              <w:t>CFO, COO, Medical Director</w:t>
            </w:r>
          </w:p>
        </w:tc>
        <w:tc>
          <w:tcPr>
            <w:tcW w:type="dxa" w:w="3168"/>
            <w:shd w:val="clear" w:color="auto" w:fill="F2F5F9"/>
          </w:tcPr>
          <w:p>
            <w:r>
              <w:rPr>
                <w:rFonts w:ascii="Times New Roman" w:hAnsi="Times New Roman"/>
                <w:b w:val="0"/>
                <w:color w:val="000000"/>
                <w:sz w:val="22"/>
              </w:rPr>
              <w:t>Only system with 90-landmark mapping vs. MAKO's 36</w:t>
            </w:r>
          </w:p>
        </w:tc>
      </w:tr>
      <w:tr>
        <w:tc>
          <w:tcPr>
            <w:tcW w:type="dxa" w:w="1872"/>
            <w:shd w:val="clear" w:color="auto" w:fill="FFFFFF"/>
          </w:tcPr>
          <w:p>
            <w:r>
              <w:rPr>
                <w:rFonts w:ascii="Times New Roman" w:hAnsi="Times New Roman"/>
                <w:b/>
                <w:color w:val="000000"/>
                <w:sz w:val="22"/>
              </w:rPr>
              <w:t>Implant Supply Agreement</w:t>
            </w:r>
          </w:p>
        </w:tc>
        <w:tc>
          <w:tcPr>
            <w:tcW w:type="dxa" w:w="3168"/>
            <w:shd w:val="clear" w:color="auto" w:fill="FFFFFF"/>
          </w:tcPr>
          <w:p>
            <w:r>
              <w:rPr>
                <w:rFonts w:ascii="Times New Roman" w:hAnsi="Times New Roman"/>
                <w:b w:val="0"/>
                <w:color w:val="000000"/>
                <w:sz w:val="22"/>
              </w:rPr>
              <w:t>Volume-linked implant contract (Persona IQ, Persona, Nexgen) with tiered ASP</w:t>
            </w:r>
          </w:p>
        </w:tc>
        <w:tc>
          <w:tcPr>
            <w:tcW w:type="dxa" w:w="2160"/>
            <w:shd w:val="clear" w:color="auto" w:fill="FFFFFF"/>
          </w:tcPr>
          <w:p>
            <w:r>
              <w:rPr>
                <w:rFonts w:ascii="Times New Roman" w:hAnsi="Times New Roman"/>
                <w:b w:val="0"/>
                <w:color w:val="000000"/>
                <w:sz w:val="22"/>
              </w:rPr>
              <w:t>Head of Orthopaedics, Procurement</w:t>
            </w:r>
          </w:p>
        </w:tc>
        <w:tc>
          <w:tcPr>
            <w:tcW w:type="dxa" w:w="3168"/>
            <w:shd w:val="clear" w:color="auto" w:fill="FFFFFF"/>
          </w:tcPr>
          <w:p>
            <w:r>
              <w:rPr>
                <w:rFonts w:ascii="Times New Roman" w:hAnsi="Times New Roman"/>
                <w:b w:val="0"/>
                <w:color w:val="000000"/>
                <w:sz w:val="22"/>
              </w:rPr>
              <w:t>Full portfolio choice; MAKO locks hospital to Stryker Triathlon only</w:t>
            </w:r>
          </w:p>
        </w:tc>
      </w:tr>
      <w:tr>
        <w:tc>
          <w:tcPr>
            <w:tcW w:type="dxa" w:w="1872"/>
            <w:shd w:val="clear" w:color="auto" w:fill="F2F5F9"/>
          </w:tcPr>
          <w:p>
            <w:r>
              <w:rPr>
                <w:rFonts w:ascii="Times New Roman" w:hAnsi="Times New Roman"/>
                <w:b/>
                <w:color w:val="000000"/>
                <w:sz w:val="22"/>
              </w:rPr>
              <w:t>Accessories &amp; Consumables</w:t>
            </w:r>
          </w:p>
        </w:tc>
        <w:tc>
          <w:tcPr>
            <w:tcW w:type="dxa" w:w="3168"/>
            <w:shd w:val="clear" w:color="auto" w:fill="F2F5F9"/>
          </w:tcPr>
          <w:p>
            <w:r>
              <w:rPr>
                <w:rFonts w:ascii="Times New Roman" w:hAnsi="Times New Roman"/>
                <w:b w:val="0"/>
                <w:color w:val="000000"/>
                <w:sz w:val="22"/>
              </w:rPr>
              <w:t>Annual supply pack: arrays, drapes, calibration tools, ROSA Optimize kits</w:t>
            </w:r>
          </w:p>
        </w:tc>
        <w:tc>
          <w:tcPr>
            <w:tcW w:type="dxa" w:w="2160"/>
            <w:shd w:val="clear" w:color="auto" w:fill="F2F5F9"/>
          </w:tcPr>
          <w:p>
            <w:r>
              <w:rPr>
                <w:rFonts w:ascii="Times New Roman" w:hAnsi="Times New Roman"/>
                <w:b w:val="0"/>
                <w:color w:val="000000"/>
                <w:sz w:val="22"/>
              </w:rPr>
              <w:t>Materials Management, Finance</w:t>
            </w:r>
          </w:p>
        </w:tc>
        <w:tc>
          <w:tcPr>
            <w:tcW w:type="dxa" w:w="3168"/>
            <w:shd w:val="clear" w:color="auto" w:fill="F2F5F9"/>
          </w:tcPr>
          <w:p>
            <w:r>
              <w:rPr>
                <w:rFonts w:ascii="Times New Roman" w:hAnsi="Times New Roman"/>
                <w:b w:val="0"/>
                <w:color w:val="000000"/>
                <w:sz w:val="22"/>
              </w:rPr>
              <w:t>Predictable cost structure; no case-by-case procurement friction</w:t>
            </w:r>
          </w:p>
        </w:tc>
      </w:tr>
      <w:tr>
        <w:tc>
          <w:tcPr>
            <w:tcW w:type="dxa" w:w="1872"/>
            <w:shd w:val="clear" w:color="auto" w:fill="FFFFFF"/>
          </w:tcPr>
          <w:p>
            <w:r>
              <w:rPr>
                <w:rFonts w:ascii="Times New Roman" w:hAnsi="Times New Roman"/>
                <w:b/>
                <w:color w:val="000000"/>
                <w:sz w:val="22"/>
              </w:rPr>
              <w:t>mymobility Platform</w:t>
            </w:r>
          </w:p>
        </w:tc>
        <w:tc>
          <w:tcPr>
            <w:tcW w:type="dxa" w:w="3168"/>
            <w:shd w:val="clear" w:color="auto" w:fill="FFFFFF"/>
          </w:tcPr>
          <w:p>
            <w:r>
              <w:rPr>
                <w:rFonts w:ascii="Times New Roman" w:hAnsi="Times New Roman"/>
                <w:b w:val="0"/>
                <w:color w:val="000000"/>
                <w:sz w:val="22"/>
              </w:rPr>
              <w:t>Clinician-prescribed patient app, surgeon dashboard, outcome data, pre/post-op protocol</w:t>
            </w:r>
          </w:p>
        </w:tc>
        <w:tc>
          <w:tcPr>
            <w:tcW w:type="dxa" w:w="2160"/>
            <w:shd w:val="clear" w:color="auto" w:fill="FFFFFF"/>
          </w:tcPr>
          <w:p>
            <w:r>
              <w:rPr>
                <w:rFonts w:ascii="Times New Roman" w:hAnsi="Times New Roman"/>
                <w:b w:val="0"/>
                <w:color w:val="000000"/>
                <w:sz w:val="22"/>
              </w:rPr>
              <w:t>CMO, Head of Digital Health, Surgeons</w:t>
            </w:r>
          </w:p>
        </w:tc>
        <w:tc>
          <w:tcPr>
            <w:tcW w:type="dxa" w:w="3168"/>
            <w:shd w:val="clear" w:color="auto" w:fill="FFFFFF"/>
          </w:tcPr>
          <w:p>
            <w:r>
              <w:rPr>
                <w:rFonts w:ascii="Times New Roman" w:hAnsi="Times New Roman"/>
                <w:b w:val="0"/>
                <w:color w:val="000000"/>
                <w:sz w:val="22"/>
              </w:rPr>
              <w:t>No equivalent in Indian market from any competitor</w:t>
            </w:r>
          </w:p>
        </w:tc>
      </w:tr>
      <w:tr>
        <w:tc>
          <w:tcPr>
            <w:tcW w:type="dxa" w:w="1872"/>
            <w:shd w:val="clear" w:color="auto" w:fill="F2F5F9"/>
          </w:tcPr>
          <w:p>
            <w:r>
              <w:rPr>
                <w:rFonts w:ascii="Times New Roman" w:hAnsi="Times New Roman"/>
                <w:b/>
                <w:color w:val="000000"/>
                <w:sz w:val="22"/>
              </w:rPr>
              <w:t>5-Year Warranty</w:t>
            </w:r>
          </w:p>
        </w:tc>
        <w:tc>
          <w:tcPr>
            <w:tcW w:type="dxa" w:w="3168"/>
            <w:shd w:val="clear" w:color="auto" w:fill="F2F5F9"/>
          </w:tcPr>
          <w:p>
            <w:r>
              <w:rPr>
                <w:rFonts w:ascii="Times New Roman" w:hAnsi="Times New Roman"/>
                <w:b w:val="0"/>
                <w:color w:val="000000"/>
                <w:sz w:val="22"/>
              </w:rPr>
              <w:t>Hardware, software, PM, SLA, annual clinical review</w:t>
            </w:r>
          </w:p>
        </w:tc>
        <w:tc>
          <w:tcPr>
            <w:tcW w:type="dxa" w:w="2160"/>
            <w:shd w:val="clear" w:color="auto" w:fill="F2F5F9"/>
          </w:tcPr>
          <w:p>
            <w:r>
              <w:rPr>
                <w:rFonts w:ascii="Times New Roman" w:hAnsi="Times New Roman"/>
                <w:b w:val="0"/>
                <w:color w:val="000000"/>
                <w:sz w:val="22"/>
              </w:rPr>
              <w:t>CFO, Risk Committee</w:t>
            </w:r>
          </w:p>
        </w:tc>
        <w:tc>
          <w:tcPr>
            <w:tcW w:type="dxa" w:w="3168"/>
            <w:shd w:val="clear" w:color="auto" w:fill="F2F5F9"/>
          </w:tcPr>
          <w:p>
            <w:r>
              <w:rPr>
                <w:rFonts w:ascii="Times New Roman" w:hAnsi="Times New Roman"/>
                <w:b w:val="0"/>
                <w:color w:val="000000"/>
                <w:sz w:val="22"/>
              </w:rPr>
              <w:t>Defined TCO; MAKO requires separate service contracts</w:t>
            </w:r>
          </w:p>
        </w:tc>
      </w:tr>
      <w:tr>
        <w:tc>
          <w:tcPr>
            <w:tcW w:type="dxa" w:w="1872"/>
            <w:shd w:val="clear" w:color="auto" w:fill="FFFFFF"/>
          </w:tcPr>
          <w:p>
            <w:r>
              <w:rPr>
                <w:rFonts w:ascii="Times New Roman" w:hAnsi="Times New Roman"/>
                <w:b/>
                <w:color w:val="000000"/>
                <w:sz w:val="22"/>
              </w:rPr>
              <w:t>ROSA Optimize Programme</w:t>
            </w:r>
          </w:p>
        </w:tc>
        <w:tc>
          <w:tcPr>
            <w:tcW w:type="dxa" w:w="3168"/>
            <w:shd w:val="clear" w:color="auto" w:fill="FFFFFF"/>
          </w:tcPr>
          <w:p>
            <w:r>
              <w:rPr>
                <w:rFonts w:ascii="Times New Roman" w:hAnsi="Times New Roman"/>
                <w:b w:val="0"/>
                <w:color w:val="000000"/>
                <w:sz w:val="22"/>
              </w:rPr>
              <w:t>Protocol documentation, case data linkage, outcome reporting, implant pull-through tracking</w:t>
            </w:r>
          </w:p>
        </w:tc>
        <w:tc>
          <w:tcPr>
            <w:tcW w:type="dxa" w:w="2160"/>
            <w:shd w:val="clear" w:color="auto" w:fill="FFFFFF"/>
          </w:tcPr>
          <w:p>
            <w:r>
              <w:rPr>
                <w:rFonts w:ascii="Times New Roman" w:hAnsi="Times New Roman"/>
                <w:b w:val="0"/>
                <w:color w:val="000000"/>
                <w:sz w:val="22"/>
              </w:rPr>
              <w:t>Clinical Quality, KOL Surgeons</w:t>
            </w:r>
          </w:p>
        </w:tc>
        <w:tc>
          <w:tcPr>
            <w:tcW w:type="dxa" w:w="3168"/>
            <w:shd w:val="clear" w:color="auto" w:fill="FFFFFF"/>
          </w:tcPr>
          <w:p>
            <w:r>
              <w:rPr>
                <w:rFonts w:ascii="Times New Roman" w:hAnsi="Times New Roman"/>
                <w:b w:val="0"/>
                <w:color w:val="000000"/>
                <w:sz w:val="22"/>
              </w:rPr>
              <w:t>Exclusive to ZB; links robotic data to clinical outcomes evidence</w:t>
            </w:r>
          </w:p>
        </w:tc>
      </w:tr>
    </w:tbl>
    <w:p/>
    <w:p>
      <w:pPr>
        <w:spacing w:before="240" w:after="60" w:line="360" w:lineRule="exact"/>
      </w:pPr>
      <w:r>
        <w:rPr>
          <w:rFonts w:ascii="Times New Roman" w:hAnsi="Times New Roman"/>
          <w:b/>
          <w:color w:val="003366"/>
          <w:sz w:val="24"/>
        </w:rPr>
        <w:t>4.3  Deal Structure Principles</w:t>
      </w:r>
    </w:p>
    <w:p>
      <w:pPr>
        <w:pStyle w:val="ListBullet"/>
        <w:spacing w:after="60" w:line="320" w:lineRule="exact"/>
        <w:ind w:left="432"/>
      </w:pPr>
      <w:r>
        <w:rPr>
          <w:rFonts w:ascii="Times New Roman" w:hAnsi="Times New Roman"/>
          <w:b/>
          <w:color w:val="003366"/>
          <w:sz w:val="24"/>
        </w:rPr>
        <w:t xml:space="preserve">Single engagement value:  </w:t>
      </w:r>
      <w:r>
        <w:rPr>
          <w:rFonts w:ascii="Times New Roman" w:hAnsi="Times New Roman"/>
          <w:color w:val="000000"/>
          <w:sz w:val="24"/>
        </w:rPr>
        <w:t>All bundle components are priced as a single annual engagement value, not as individually itemised line items. This prevents the procurement team from disaggregating and re-tendering individual components.</w:t>
      </w:r>
    </w:p>
    <w:p>
      <w:pPr>
        <w:pStyle w:val="ListBullet"/>
        <w:spacing w:after="60" w:line="320" w:lineRule="exact"/>
        <w:ind w:left="432"/>
      </w:pPr>
      <w:r>
        <w:rPr>
          <w:rFonts w:ascii="Times New Roman" w:hAnsi="Times New Roman"/>
          <w:b/>
          <w:color w:val="003366"/>
          <w:sz w:val="24"/>
        </w:rPr>
        <w:t xml:space="preserve">Approval matrix:  </w:t>
      </w:r>
      <w:r>
        <w:rPr>
          <w:rFonts w:ascii="Times New Roman" w:hAnsi="Times New Roman"/>
          <w:color w:val="000000"/>
          <w:sz w:val="24"/>
        </w:rPr>
        <w:t>Floor pricing for each bundle tier requires Country Head or Commercial Head approval. The field presents within pre-approved bands — no case-by-case escalation for standard proposals.</w:t>
      </w:r>
    </w:p>
    <w:p>
      <w:pPr>
        <w:pStyle w:val="ListBullet"/>
        <w:spacing w:after="60" w:line="320" w:lineRule="exact"/>
        <w:ind w:left="432"/>
      </w:pPr>
      <w:r>
        <w:rPr>
          <w:rFonts w:ascii="Times New Roman" w:hAnsi="Times New Roman"/>
          <w:b/>
          <w:color w:val="003366"/>
          <w:sz w:val="24"/>
        </w:rPr>
        <w:t xml:space="preserve">Tiered structure:  </w:t>
      </w:r>
      <w:r>
        <w:rPr>
          <w:rFonts w:ascii="Times New Roman" w:hAnsi="Times New Roman"/>
          <w:color w:val="000000"/>
          <w:sz w:val="24"/>
        </w:rPr>
        <w:t>Volume thresholds define three bundle tiers: Standard (6-10 ROSA cases/month), Advanced (11-18 cases/month), Premier (18+ cases/month). Implant ASP and mymobility seat count scale with tier.</w:t>
      </w:r>
    </w:p>
    <w:p>
      <w:pPr>
        <w:pStyle w:val="ListBullet"/>
        <w:spacing w:after="60" w:line="320" w:lineRule="exact"/>
        <w:ind w:left="432"/>
      </w:pPr>
      <w:r>
        <w:rPr>
          <w:rFonts w:ascii="Times New Roman" w:hAnsi="Times New Roman"/>
          <w:b/>
          <w:color w:val="003366"/>
          <w:sz w:val="24"/>
        </w:rPr>
        <w:t xml:space="preserve">Account priority:  </w:t>
      </w:r>
      <w:r>
        <w:rPr>
          <w:rFonts w:ascii="Times New Roman" w:hAnsi="Times New Roman"/>
          <w:color w:val="000000"/>
          <w:sz w:val="24"/>
        </w:rPr>
        <w:t>All four corporate chain accounts (Apollo, Fortis, Max, Manipal) are Priority 1 for the bundle proposal. The first proposal should be submitted within 30 days of pricing approval.</w:t>
      </w:r>
    </w:p>
    <w:p>
      <w:r>
        <w:br w:type="page"/>
      </w:r>
    </w:p>
    <w:p>
      <w:pPr>
        <w:spacing w:before="360" w:after="80" w:line="400" w:lineRule="exact"/>
        <w:pBdr>
          <w:bottom w:val="single" w:sz="8" w:space="2" w:color="003366"/>
        </w:pBdr>
      </w:pPr>
      <w:r>
        <w:rPr>
          <w:rFonts w:ascii="Times New Roman" w:hAnsi="Times New Roman"/>
          <w:b/>
          <w:color w:val="003366"/>
          <w:sz w:val="26"/>
        </w:rPr>
        <w:t>SECTION 5: UNIFIED MARKETING TEAM — FORMATION AND STRUCTURE</w:t>
      </w:r>
    </w:p>
    <w:p>
      <w:pPr>
        <w:spacing w:after="160" w:before="0" w:line="360" w:lineRule="exact"/>
        <w:jc w:val="both"/>
      </w:pPr>
      <w:r>
        <w:rPr>
          <w:rFonts w:ascii="Times New Roman" w:hAnsi="Times New Roman"/>
          <w:color w:val="000000"/>
          <w:sz w:val="24"/>
        </w:rPr>
        <w:t>The absence of a single marketing function owning both the Implant and ROSA proposition is the organisational root cause of the narrative fragmentation identified in the field survey. 44 entries flag ROSA narrative leadership as an opportunity; 27 flag institutional selling skill gaps. Both are marketing failures, not field failures. The formation of a Unified Marketing Team (UMT) is the structural fix.</w:t>
      </w:r>
    </w:p>
    <w:p>
      <w:pPr>
        <w:spacing w:before="240" w:after="60" w:line="360" w:lineRule="exact"/>
      </w:pPr>
      <w:r>
        <w:rPr>
          <w:rFonts w:ascii="Times New Roman" w:hAnsi="Times New Roman"/>
          <w:b/>
          <w:color w:val="003366"/>
          <w:sz w:val="24"/>
        </w:rPr>
        <w:t>5.1  Purpose and Mandate of the Unified Marketing Team</w:t>
      </w:r>
    </w:p>
    <w:p>
      <w:pPr>
        <w:spacing w:after="160" w:before="0" w:line="360" w:lineRule="exact"/>
        <w:jc w:val="both"/>
      </w:pPr>
      <w:r>
        <w:rPr>
          <w:rFonts w:ascii="Times New Roman" w:hAnsi="Times New Roman"/>
          <w:color w:val="000000"/>
          <w:sz w:val="24"/>
        </w:rPr>
        <w:t>The UMT's mandate is to produce and own the single, approved commercial and clinical narrative for Zimmer Biomet India's knee and robotic business. It is not a product marketing function. It is an institutional access function. Its output is the evidence, the story and the tools that allow the field to walk into a CMO's office, a group procurement committee or a KOL meeting and win. Everything else is in service of that.</w:t>
      </w:r>
    </w:p>
    <w:p>
      <w:pPr>
        <w:spacing w:before="240" w:after="60" w:line="360" w:lineRule="exact"/>
      </w:pPr>
      <w:r>
        <w:rPr>
          <w:rFonts w:ascii="Times New Roman" w:hAnsi="Times New Roman"/>
          <w:b/>
          <w:color w:val="003366"/>
          <w:sz w:val="24"/>
        </w:rPr>
        <w:t>5.2  Proposed UMT Structure</w:t>
      </w:r>
    </w:p>
    <w:tbl>
      <w:tblPr>
        <w:tblStyle w:val="TableGrid"/>
        <w:tblW w:type="auto" w:w="0"/>
        <w:tblLook w:firstColumn="1" w:firstRow="1" w:lastColumn="0" w:lastRow="0" w:noHBand="0" w:noVBand="1" w:val="04A0"/>
      </w:tblPr>
      <w:tblGrid>
        <w:gridCol w:w="2880"/>
        <w:gridCol w:w="2880"/>
        <w:gridCol w:w="2880"/>
      </w:tblGrid>
      <w:tr>
        <w:tc>
          <w:tcPr>
            <w:tcW w:type="dxa" w:w="2592"/>
            <w:shd w:val="clear" w:color="auto" w:fill="003366"/>
          </w:tcPr>
          <w:p>
            <w:pPr>
              <w:jc w:val="center"/>
            </w:pPr>
            <w:r>
              <w:rPr>
                <w:rFonts w:ascii="Times New Roman" w:hAnsi="Times New Roman"/>
                <w:b/>
                <w:color w:val="FFFFFF"/>
                <w:sz w:val="22"/>
              </w:rPr>
              <w:t>Role</w:t>
            </w:r>
          </w:p>
        </w:tc>
        <w:tc>
          <w:tcPr>
            <w:tcW w:type="dxa" w:w="4320"/>
            <w:shd w:val="clear" w:color="auto" w:fill="003366"/>
          </w:tcPr>
          <w:p>
            <w:pPr>
              <w:jc w:val="center"/>
            </w:pPr>
            <w:r>
              <w:rPr>
                <w:rFonts w:ascii="Times New Roman" w:hAnsi="Times New Roman"/>
                <w:b/>
                <w:color w:val="FFFFFF"/>
                <w:sz w:val="22"/>
              </w:rPr>
              <w:t>Accountabilities</w:t>
            </w:r>
          </w:p>
        </w:tc>
        <w:tc>
          <w:tcPr>
            <w:tcW w:type="dxa" w:w="2016"/>
            <w:shd w:val="clear" w:color="auto" w:fill="003366"/>
          </w:tcPr>
          <w:p>
            <w:pPr>
              <w:jc w:val="center"/>
            </w:pPr>
            <w:r>
              <w:rPr>
                <w:rFonts w:ascii="Times New Roman" w:hAnsi="Times New Roman"/>
                <w:b/>
                <w:color w:val="FFFFFF"/>
                <w:sz w:val="22"/>
              </w:rPr>
              <w:t>Reports To</w:t>
            </w:r>
          </w:p>
        </w:tc>
      </w:tr>
      <w:tr>
        <w:tc>
          <w:tcPr>
            <w:tcW w:type="dxa" w:w="2592"/>
            <w:shd w:val="clear" w:color="auto" w:fill="F2F5F9"/>
          </w:tcPr>
          <w:p>
            <w:r>
              <w:rPr>
                <w:rFonts w:ascii="Times New Roman" w:hAnsi="Times New Roman"/>
                <w:b/>
                <w:color w:val="000000"/>
                <w:sz w:val="22"/>
              </w:rPr>
              <w:t>Head of Unified Marketing (new or re-designated)</w:t>
            </w:r>
          </w:p>
        </w:tc>
        <w:tc>
          <w:tcPr>
            <w:tcW w:type="dxa" w:w="4320"/>
            <w:shd w:val="clear" w:color="auto" w:fill="F2F5F9"/>
          </w:tcPr>
          <w:p>
            <w:r>
              <w:rPr>
                <w:rFonts w:ascii="Times New Roman" w:hAnsi="Times New Roman"/>
                <w:b w:val="0"/>
                <w:color w:val="000000"/>
                <w:sz w:val="22"/>
              </w:rPr>
              <w:t>P&amp;L of marketing budget; final sign-off on all ROSA and implant market communications; UMT lead</w:t>
            </w:r>
          </w:p>
        </w:tc>
        <w:tc>
          <w:tcPr>
            <w:tcW w:type="dxa" w:w="2016"/>
            <w:shd w:val="clear" w:color="auto" w:fill="F2F5F9"/>
          </w:tcPr>
          <w:p>
            <w:r>
              <w:rPr>
                <w:rFonts w:ascii="Times New Roman" w:hAnsi="Times New Roman"/>
                <w:b w:val="0"/>
                <w:color w:val="000000"/>
                <w:sz w:val="22"/>
              </w:rPr>
              <w:t>Country Head</w:t>
            </w:r>
          </w:p>
        </w:tc>
      </w:tr>
      <w:tr>
        <w:tc>
          <w:tcPr>
            <w:tcW w:type="dxa" w:w="2592"/>
            <w:shd w:val="clear" w:color="auto" w:fill="FFFFFF"/>
          </w:tcPr>
          <w:p>
            <w:r>
              <w:rPr>
                <w:rFonts w:ascii="Times New Roman" w:hAnsi="Times New Roman"/>
                <w:b/>
                <w:color w:val="000000"/>
                <w:sz w:val="22"/>
              </w:rPr>
              <w:t>ROSA Clinical Marketing Manager</w:t>
            </w:r>
          </w:p>
        </w:tc>
        <w:tc>
          <w:tcPr>
            <w:tcW w:type="dxa" w:w="4320"/>
            <w:shd w:val="clear" w:color="auto" w:fill="FFFFFF"/>
          </w:tcPr>
          <w:p>
            <w:r>
              <w:rPr>
                <w:rFonts w:ascii="Times New Roman" w:hAnsi="Times New Roman"/>
                <w:b w:val="0"/>
                <w:color w:val="000000"/>
                <w:sz w:val="22"/>
              </w:rPr>
              <w:t>ROSA narrative, MAKO objection script, 90-landmark clinical story, ROSA Optimize content, KOL scientific content</w:t>
            </w:r>
          </w:p>
        </w:tc>
        <w:tc>
          <w:tcPr>
            <w:tcW w:type="dxa" w:w="2016"/>
            <w:shd w:val="clear" w:color="auto" w:fill="FFFFFF"/>
          </w:tcPr>
          <w:p>
            <w:r>
              <w:rPr>
                <w:rFonts w:ascii="Times New Roman" w:hAnsi="Times New Roman"/>
                <w:b w:val="0"/>
                <w:color w:val="000000"/>
                <w:sz w:val="22"/>
              </w:rPr>
              <w:t>Head of Unified Marketing</w:t>
            </w:r>
          </w:p>
        </w:tc>
      </w:tr>
      <w:tr>
        <w:tc>
          <w:tcPr>
            <w:tcW w:type="dxa" w:w="2592"/>
            <w:shd w:val="clear" w:color="auto" w:fill="F2F5F9"/>
          </w:tcPr>
          <w:p>
            <w:r>
              <w:rPr>
                <w:rFonts w:ascii="Times New Roman" w:hAnsi="Times New Roman"/>
                <w:b/>
                <w:color w:val="000000"/>
                <w:sz w:val="22"/>
              </w:rPr>
              <w:t>Implant Marketing Manager</w:t>
            </w:r>
          </w:p>
        </w:tc>
        <w:tc>
          <w:tcPr>
            <w:tcW w:type="dxa" w:w="4320"/>
            <w:shd w:val="clear" w:color="auto" w:fill="F2F5F9"/>
          </w:tcPr>
          <w:p>
            <w:r>
              <w:rPr>
                <w:rFonts w:ascii="Times New Roman" w:hAnsi="Times New Roman"/>
                <w:b w:val="0"/>
                <w:color w:val="000000"/>
                <w:sz w:val="22"/>
              </w:rPr>
              <w:t>Implant portfolio positioning, ASP management, corporate tender support, surgeon education content</w:t>
            </w:r>
          </w:p>
        </w:tc>
        <w:tc>
          <w:tcPr>
            <w:tcW w:type="dxa" w:w="2016"/>
            <w:shd w:val="clear" w:color="auto" w:fill="F2F5F9"/>
          </w:tcPr>
          <w:p>
            <w:r>
              <w:rPr>
                <w:rFonts w:ascii="Times New Roman" w:hAnsi="Times New Roman"/>
                <w:b w:val="0"/>
                <w:color w:val="000000"/>
                <w:sz w:val="22"/>
              </w:rPr>
              <w:t>Head of Unified Marketing</w:t>
            </w:r>
          </w:p>
        </w:tc>
      </w:tr>
      <w:tr>
        <w:tc>
          <w:tcPr>
            <w:tcW w:type="dxa" w:w="2592"/>
            <w:shd w:val="clear" w:color="auto" w:fill="FFFFFF"/>
          </w:tcPr>
          <w:p>
            <w:r>
              <w:rPr>
                <w:rFonts w:ascii="Times New Roman" w:hAnsi="Times New Roman"/>
                <w:b/>
                <w:color w:val="000000"/>
                <w:sz w:val="22"/>
              </w:rPr>
              <w:t>Institutional Access Manager</w:t>
            </w:r>
          </w:p>
        </w:tc>
        <w:tc>
          <w:tcPr>
            <w:tcW w:type="dxa" w:w="4320"/>
            <w:shd w:val="clear" w:color="auto" w:fill="FFFFFF"/>
          </w:tcPr>
          <w:p>
            <w:r>
              <w:rPr>
                <w:rFonts w:ascii="Times New Roman" w:hAnsi="Times New Roman"/>
                <w:b w:val="0"/>
                <w:color w:val="000000"/>
                <w:sz w:val="22"/>
              </w:rPr>
              <w:t>Corporate hospital entry strategy, CMO/CEO/COO engagement materials, outcomes dashboard, group office presentations</w:t>
            </w:r>
          </w:p>
        </w:tc>
        <w:tc>
          <w:tcPr>
            <w:tcW w:type="dxa" w:w="2016"/>
            <w:shd w:val="clear" w:color="auto" w:fill="FFFFFF"/>
          </w:tcPr>
          <w:p>
            <w:r>
              <w:rPr>
                <w:rFonts w:ascii="Times New Roman" w:hAnsi="Times New Roman"/>
                <w:b w:val="0"/>
                <w:color w:val="000000"/>
                <w:sz w:val="22"/>
              </w:rPr>
              <w:t>Head of Unified Marketing</w:t>
            </w:r>
          </w:p>
        </w:tc>
      </w:tr>
      <w:tr>
        <w:tc>
          <w:tcPr>
            <w:tcW w:type="dxa" w:w="2592"/>
            <w:shd w:val="clear" w:color="auto" w:fill="F2F5F9"/>
          </w:tcPr>
          <w:p>
            <w:r>
              <w:rPr>
                <w:rFonts w:ascii="Times New Roman" w:hAnsi="Times New Roman"/>
                <w:b/>
                <w:color w:val="000000"/>
                <w:sz w:val="22"/>
              </w:rPr>
              <w:t>Digital Health &amp; mymobility Lead</w:t>
            </w:r>
          </w:p>
        </w:tc>
        <w:tc>
          <w:tcPr>
            <w:tcW w:type="dxa" w:w="4320"/>
            <w:shd w:val="clear" w:color="auto" w:fill="F2F5F9"/>
          </w:tcPr>
          <w:p>
            <w:r>
              <w:rPr>
                <w:rFonts w:ascii="Times New Roman" w:hAnsi="Times New Roman"/>
                <w:b w:val="0"/>
                <w:color w:val="000000"/>
                <w:sz w:val="22"/>
              </w:rPr>
              <w:t>mymobility programme deployment, patient outcomes data, digital health narrative for corporate hospitals</w:t>
            </w:r>
          </w:p>
        </w:tc>
        <w:tc>
          <w:tcPr>
            <w:tcW w:type="dxa" w:w="2016"/>
            <w:shd w:val="clear" w:color="auto" w:fill="F2F5F9"/>
          </w:tcPr>
          <w:p>
            <w:r>
              <w:rPr>
                <w:rFonts w:ascii="Times New Roman" w:hAnsi="Times New Roman"/>
                <w:b w:val="0"/>
                <w:color w:val="000000"/>
                <w:sz w:val="22"/>
              </w:rPr>
              <w:t>Head of Unified Marketing</w:t>
            </w:r>
          </w:p>
        </w:tc>
      </w:tr>
      <w:tr>
        <w:tc>
          <w:tcPr>
            <w:tcW w:type="dxa" w:w="2592"/>
            <w:shd w:val="clear" w:color="auto" w:fill="FFFFFF"/>
          </w:tcPr>
          <w:p>
            <w:r>
              <w:rPr>
                <w:rFonts w:ascii="Times New Roman" w:hAnsi="Times New Roman"/>
                <w:b/>
                <w:color w:val="000000"/>
                <w:sz w:val="22"/>
              </w:rPr>
              <w:t>KOL &amp; Advisory Board Manager</w:t>
            </w:r>
          </w:p>
        </w:tc>
        <w:tc>
          <w:tcPr>
            <w:tcW w:type="dxa" w:w="4320"/>
            <w:shd w:val="clear" w:color="auto" w:fill="FFFFFF"/>
          </w:tcPr>
          <w:p>
            <w:r>
              <w:rPr>
                <w:rFonts w:ascii="Times New Roman" w:hAnsi="Times New Roman"/>
                <w:b w:val="0"/>
                <w:color w:val="000000"/>
                <w:sz w:val="22"/>
              </w:rPr>
              <w:t>KOL identification, champion programme, advisory board coordination, symposia and clinical events calendar</w:t>
            </w:r>
          </w:p>
        </w:tc>
        <w:tc>
          <w:tcPr>
            <w:tcW w:type="dxa" w:w="2016"/>
            <w:shd w:val="clear" w:color="auto" w:fill="FFFFFF"/>
          </w:tcPr>
          <w:p>
            <w:r>
              <w:rPr>
                <w:rFonts w:ascii="Times New Roman" w:hAnsi="Times New Roman"/>
                <w:b w:val="0"/>
                <w:color w:val="000000"/>
                <w:sz w:val="22"/>
              </w:rPr>
              <w:t>Head of Unified Marketing</w:t>
            </w:r>
          </w:p>
        </w:tc>
      </w:tr>
      <w:tr>
        <w:tc>
          <w:tcPr>
            <w:tcW w:type="dxa" w:w="2592"/>
            <w:shd w:val="clear" w:color="auto" w:fill="F2F5F9"/>
          </w:tcPr>
          <w:p>
            <w:r>
              <w:rPr>
                <w:rFonts w:ascii="Times New Roman" w:hAnsi="Times New Roman"/>
                <w:b/>
                <w:color w:val="000000"/>
                <w:sz w:val="22"/>
              </w:rPr>
              <w:t>GCC Partnership Liaison</w:t>
            </w:r>
          </w:p>
        </w:tc>
        <w:tc>
          <w:tcPr>
            <w:tcW w:type="dxa" w:w="4320"/>
            <w:shd w:val="clear" w:color="auto" w:fill="F2F5F9"/>
          </w:tcPr>
          <w:p>
            <w:r>
              <w:rPr>
                <w:rFonts w:ascii="Times New Roman" w:hAnsi="Times New Roman"/>
                <w:b w:val="0"/>
                <w:color w:val="000000"/>
                <w:sz w:val="22"/>
              </w:rPr>
              <w:t>Interfaces with ZB India GCC team for market intelligence, clinical evidence packaging, and chain-level analytics; co-produces institutional briefs for Apollo/Fortis/Max/Manipal group offices; coordinates KOL data-collection protocols with GCC clinical team</w:t>
            </w:r>
          </w:p>
        </w:tc>
        <w:tc>
          <w:tcPr>
            <w:tcW w:type="dxa" w:w="2016"/>
            <w:shd w:val="clear" w:color="auto" w:fill="F2F5F9"/>
          </w:tcPr>
          <w:p>
            <w:r>
              <w:rPr>
                <w:rFonts w:ascii="Times New Roman" w:hAnsi="Times New Roman"/>
                <w:b w:val="0"/>
                <w:color w:val="000000"/>
                <w:sz w:val="22"/>
              </w:rPr>
              <w:t>Head of Unified Marketing</w:t>
            </w:r>
          </w:p>
        </w:tc>
      </w:tr>
    </w:tbl>
    <w:p/>
    <w:p>
      <w:pPr>
        <w:spacing w:before="240" w:after="60" w:line="360" w:lineRule="exact"/>
      </w:pPr>
      <w:r>
        <w:rPr>
          <w:rFonts w:ascii="Times New Roman" w:hAnsi="Times New Roman"/>
          <w:b/>
          <w:color w:val="003366"/>
          <w:sz w:val="24"/>
        </w:rPr>
        <w:t>5.3  What the UMT Produces — Core Deliverables by Month 1</w:t>
      </w:r>
    </w:p>
    <w:p>
      <w:pPr>
        <w:pStyle w:val="ListBullet"/>
        <w:spacing w:after="60" w:line="320" w:lineRule="exact"/>
        <w:ind w:left="432"/>
      </w:pPr>
      <w:r>
        <w:rPr>
          <w:rFonts w:ascii="Times New Roman" w:hAnsi="Times New Roman"/>
          <w:b/>
          <w:color w:val="003366"/>
          <w:sz w:val="24"/>
        </w:rPr>
        <w:t xml:space="preserve">Narrative standardisation:  </w:t>
      </w:r>
      <w:r>
        <w:rPr>
          <w:rFonts w:ascii="Times New Roman" w:hAnsi="Times New Roman"/>
          <w:color w:val="000000"/>
          <w:sz w:val="24"/>
        </w:rPr>
        <w:t>Single approved ROSA vs. MAKO objection handling script — published as the only version in circulation; all field deviations flagged</w:t>
      </w:r>
    </w:p>
    <w:p>
      <w:pPr>
        <w:pStyle w:val="ListBullet"/>
        <w:spacing w:after="60" w:line="320" w:lineRule="exact"/>
        <w:ind w:left="432"/>
      </w:pPr>
      <w:r>
        <w:rPr>
          <w:rFonts w:ascii="Times New Roman" w:hAnsi="Times New Roman"/>
          <w:b/>
          <w:color w:val="003366"/>
          <w:sz w:val="24"/>
        </w:rPr>
        <w:t xml:space="preserve">Bundle proposal:  </w:t>
      </w:r>
      <w:r>
        <w:rPr>
          <w:rFonts w:ascii="Times New Roman" w:hAnsi="Times New Roman"/>
          <w:color w:val="000000"/>
          <w:sz w:val="24"/>
        </w:rPr>
        <w:t>ROSA + implant bundle proposal deck — one approved version, field-customisable by account, submitted only with UMT sign-off</w:t>
      </w:r>
    </w:p>
    <w:p>
      <w:pPr>
        <w:pStyle w:val="ListBullet"/>
        <w:spacing w:after="60" w:line="320" w:lineRule="exact"/>
        <w:ind w:left="432"/>
      </w:pPr>
      <w:r>
        <w:rPr>
          <w:rFonts w:ascii="Times New Roman" w:hAnsi="Times New Roman"/>
          <w:b/>
          <w:color w:val="003366"/>
          <w:sz w:val="24"/>
        </w:rPr>
        <w:t xml:space="preserve">Institutional access:  </w:t>
      </w:r>
      <w:r>
        <w:rPr>
          <w:rFonts w:ascii="Times New Roman" w:hAnsi="Times New Roman"/>
          <w:color w:val="000000"/>
          <w:sz w:val="24"/>
        </w:rPr>
        <w:t>Corporate hospital entry pack — outcomes data, 5-year warranty terms, mymobility overview, clinical evidence summary in a format designed for a CMO, COO or group procurement committee</w:t>
      </w:r>
    </w:p>
    <w:p>
      <w:pPr>
        <w:pStyle w:val="ListBullet"/>
        <w:spacing w:after="60" w:line="320" w:lineRule="exact"/>
        <w:ind w:left="432"/>
      </w:pPr>
      <w:r>
        <w:rPr>
          <w:rFonts w:ascii="Times New Roman" w:hAnsi="Times New Roman"/>
          <w:b/>
          <w:color w:val="003366"/>
          <w:sz w:val="24"/>
        </w:rPr>
        <w:t xml:space="preserve">KOL programme:  </w:t>
      </w:r>
      <w:r>
        <w:rPr>
          <w:rFonts w:ascii="Times New Roman" w:hAnsi="Times New Roman"/>
          <w:color w:val="000000"/>
          <w:sz w:val="24"/>
        </w:rPr>
        <w:t>KOL engagement calendar for Q4 2026 — regional clinical sessions, advisory board constitution, champion nomination letters</w:t>
      </w:r>
    </w:p>
    <w:p>
      <w:pPr>
        <w:pStyle w:val="ListBullet"/>
        <w:spacing w:after="60" w:line="320" w:lineRule="exact"/>
        <w:ind w:left="432"/>
      </w:pPr>
      <w:r>
        <w:rPr>
          <w:rFonts w:ascii="Times New Roman" w:hAnsi="Times New Roman"/>
          <w:b/>
          <w:color w:val="003366"/>
          <w:sz w:val="24"/>
        </w:rPr>
        <w:t xml:space="preserve">mymobility rollout:  </w:t>
      </w:r>
      <w:r>
        <w:rPr>
          <w:rFonts w:ascii="Times New Roman" w:hAnsi="Times New Roman"/>
          <w:color w:val="000000"/>
          <w:sz w:val="24"/>
        </w:rPr>
        <w:t>mymobility deployment playbook — hospital setup guide, surgeon onboarding protocol, outcome reporting dashboard template</w:t>
      </w:r>
    </w:p>
    <w:p>
      <w:pPr>
        <w:pStyle w:val="ListBullet"/>
        <w:spacing w:after="60" w:line="320" w:lineRule="exact"/>
        <w:ind w:left="432"/>
      </w:pPr>
      <w:r>
        <w:rPr>
          <w:rFonts w:ascii="Times New Roman" w:hAnsi="Times New Roman"/>
          <w:b/>
          <w:color w:val="003366"/>
          <w:sz w:val="24"/>
        </w:rPr>
        <w:t xml:space="preserve">Governance:  </w:t>
      </w:r>
      <w:r>
        <w:rPr>
          <w:rFonts w:ascii="Times New Roman" w:hAnsi="Times New Roman"/>
          <w:color w:val="000000"/>
          <w:sz w:val="24"/>
        </w:rPr>
        <w:t>RACI matrix — revised and signed off by Country Head — clarifying ownership between UMT, ROSA team, field sales, finance and service for every corporate account action</w:t>
      </w:r>
    </w:p>
    <w:p>
      <w:pPr>
        <w:spacing w:before="240" w:after="60" w:line="360" w:lineRule="exact"/>
      </w:pPr>
      <w:r>
        <w:rPr>
          <w:rFonts w:ascii="Times New Roman" w:hAnsi="Times New Roman"/>
          <w:b/>
          <w:color w:val="003366"/>
          <w:sz w:val="24"/>
        </w:rPr>
        <w:t>5.4  Integration with Sales Teams</w:t>
      </w:r>
    </w:p>
    <w:p>
      <w:pPr>
        <w:spacing w:after="160" w:before="0" w:line="360" w:lineRule="exact"/>
        <w:jc w:val="both"/>
      </w:pPr>
      <w:r>
        <w:rPr>
          <w:rFonts w:ascii="Times New Roman" w:hAnsi="Times New Roman"/>
          <w:color w:val="000000"/>
          <w:sz w:val="24"/>
        </w:rPr>
        <w:t>The UMT is not a separate silo. Its KPIs are field-facing: bundle proposal submission rate, objection script adoption, CMO meeting rate, KOL activation count and mymobility deployment accounts. The Head of Unified Marketing attends the monthly commercial review alongside the National Sales Head. UMT members accompany field teams on high-value corporate account calls at least once per quarter. This is an embedded function, not a head office function.</w:t>
      </w:r>
    </w:p>
    <w:p>
      <w:pPr>
        <w:spacing w:before="240" w:after="60" w:line="360" w:lineRule="exact"/>
      </w:pPr>
      <w:r>
        <w:rPr>
          <w:rFonts w:ascii="Times New Roman" w:hAnsi="Times New Roman"/>
          <w:b/>
          <w:color w:val="003366"/>
          <w:sz w:val="24"/>
        </w:rPr>
        <w:t>5.5  GCC Partnership Mandate — Zimmer Biomet's India GCC as UMT Force Multiplier</w:t>
      </w:r>
    </w:p>
    <w:p>
      <w:pPr>
        <w:spacing w:after="160" w:before="0" w:line="360" w:lineRule="exact"/>
        <w:jc w:val="both"/>
      </w:pPr>
      <w:r>
        <w:rPr>
          <w:rFonts w:ascii="Times New Roman" w:hAnsi="Times New Roman"/>
          <w:color w:val="000000"/>
          <w:sz w:val="24"/>
        </w:rPr>
        <w:t>Zimmer Biomet's Global Capability Centre (GCC) in India is not a back-office support function — it is a strategic knowledge asset. The UMT's mandate explicitly activates the GCC as a force multiplier for two of its highest-leverage activities: institutional access at corporate hospital chains and systematic KOL ecosystem development. The GCC's presence in India is itself a commercial narrative — it communicates long-term institutional commitment to the Indian market and to Indian clinical outcomes, an argument that no competitor can replicate without an equivalent in-country infrastructure.</w:t>
      </w:r>
    </w:p>
    <w:p>
      <w:pPr>
        <w:spacing w:before="200" w:after="80" w:line="320" w:lineRule="exact"/>
        <w:jc w:val="left"/>
      </w:pPr>
      <w:r>
        <w:rPr>
          <w:rFonts w:ascii="Times New Roman" w:hAnsi="Times New Roman"/>
          <w:b/>
          <w:i w:val="0"/>
          <w:color w:val="003366"/>
          <w:sz w:val="24"/>
        </w:rPr>
        <w:t>Hospital Chain Partnerships</w:t>
      </w:r>
    </w:p>
    <w:p>
      <w:pPr>
        <w:spacing w:after="160" w:before="0" w:line="360" w:lineRule="exact"/>
        <w:jc w:val="both"/>
      </w:pPr>
      <w:r>
        <w:rPr>
          <w:rFonts w:ascii="Times New Roman" w:hAnsi="Times New Roman"/>
          <w:color w:val="000000"/>
          <w:sz w:val="24"/>
        </w:rPr>
        <w:t>The GCC team works in close coordination with the Institutional Access Manager to produce chain-specific commercial intelligence packages for each of the four target hospital groups: Apollo, Fortis, Max, and Manipal. These are not generic capability decks — they are account-specific institutional briefs built for the group offices of each chain. Each brief contains: a ROSA outcomes dashboard benchmarked against published global data, a NABH/JCI-aligned clinical evidence summary, a competitive positioning analysis versus Stryker MAKO, and a 5-year total cost of ownership (TCO) model incorporating the Comprehensive Warranty Programme. No CMO-level or group procurement committee meeting is to be scheduled without a GCC-produced institutional brief as the leave-behind document.</w:t>
      </w:r>
    </w:p>
    <w:p>
      <w:pPr>
        <w:spacing w:before="200" w:after="80" w:line="320" w:lineRule="exact"/>
        <w:jc w:val="left"/>
      </w:pPr>
      <w:r>
        <w:rPr>
          <w:rFonts w:ascii="Times New Roman" w:hAnsi="Times New Roman"/>
          <w:b/>
          <w:i w:val="0"/>
          <w:color w:val="003366"/>
          <w:sz w:val="24"/>
        </w:rPr>
        <w:t>KOL Ecosystem Development</w:t>
      </w:r>
    </w:p>
    <w:p>
      <w:pPr>
        <w:spacing w:after="160" w:before="0" w:line="360" w:lineRule="exact"/>
        <w:jc w:val="both"/>
      </w:pPr>
      <w:r>
        <w:rPr>
          <w:rFonts w:ascii="Times New Roman" w:hAnsi="Times New Roman"/>
          <w:color w:val="000000"/>
          <w:sz w:val="24"/>
        </w:rPr>
        <w:t>The GCC clinical intelligence team supports the KOL programme by building and maintaining the ROSA clinical evidence repository — structured case databases, outcomes benchmarks, and publication-ready data formats that surgeon-KOLs need to become credible institutional advocates. The KOL &amp; Advisory Board Manager in the UMT works directly with GCC to design data collection protocols at each ROSA installation site. This creates a value exchange: the hospital and surgeon receive structured outcomes tracking and academic publication support; ZB receives a growing body of India-specific clinical evidence that strengthens every institutional and procurement conversation across the chain network.</w:t>
      </w:r>
    </w:p>
    <w:p>
      <w:pPr>
        <w:spacing w:before="200" w:after="80" w:line="320" w:lineRule="exact"/>
        <w:jc w:val="left"/>
      </w:pPr>
      <w:r>
        <w:rPr>
          <w:rFonts w:ascii="Times New Roman" w:hAnsi="Times New Roman"/>
          <w:b/>
          <w:i w:val="0"/>
          <w:color w:val="003366"/>
          <w:sz w:val="24"/>
        </w:rPr>
        <w:t>GCC Presence as a Competitive Differentiator</w:t>
      </w:r>
    </w:p>
    <w:p>
      <w:pPr>
        <w:spacing w:after="160" w:before="0" w:line="360" w:lineRule="exact"/>
        <w:jc w:val="both"/>
      </w:pPr>
      <w:r>
        <w:rPr>
          <w:rFonts w:ascii="Times New Roman" w:hAnsi="Times New Roman"/>
          <w:color w:val="000000"/>
          <w:sz w:val="24"/>
        </w:rPr>
        <w:t>In corporate hospital and group-office conversations, the GCC's India presence is deployed as evidence of Zimmer Biomet's long-term commitment: "We built our Global Capability Centre in India because we are committed to building clinical and commercial capability here — not just distributing equipment. That commitment is what makes our 5-year programme meaningful. We will be here in year five." This narrative has no equivalent from Stryker in the Indian market and should be incorporated into every group-level pitch and CMO engagement.</w:t>
      </w:r>
    </w:p>
    <w:p>
      <w:pPr>
        <w:spacing w:before="120" w:after="200" w:line="320" w:lineRule="exact"/>
        <w:ind w:left="360" w:right="360"/>
        <w:pBdr>
          <w:left w:val="single" w:sz="16" w:space="6" w:color="003366"/>
        </w:pBdr>
      </w:pPr>
      <w:r>
        <w:rPr>
          <w:rFonts w:ascii="Times New Roman" w:hAnsi="Times New Roman"/>
          <w:i/>
          <w:color w:val="003366"/>
          <w:sz w:val="24"/>
        </w:rPr>
        <w:t>UMT action (Month 1): Name the GCC Programme Manager responsible for UMT liaison. Schedule introductory meeting between GCC lead and Institutional Access Manager within the first two weeks of UMT formation. All GCC partnership deliverables to be included in the UMT Month 1 work plan with named owners and due dates.</w:t>
      </w:r>
    </w:p>
    <w:p>
      <w:pPr>
        <w:spacing w:before="360" w:after="80" w:line="400" w:lineRule="exact"/>
        <w:pBdr>
          <w:bottom w:val="single" w:sz="8" w:space="2" w:color="003366"/>
        </w:pBdr>
      </w:pPr>
      <w:r>
        <w:rPr>
          <w:rFonts w:ascii="Times New Roman" w:hAnsi="Times New Roman"/>
          <w:b/>
          <w:color w:val="003366"/>
          <w:sz w:val="26"/>
        </w:rPr>
        <w:t>SECTION 6: COMMON GOALS AND INCENTIVE STRUCTURE</w:t>
      </w:r>
    </w:p>
    <w:p>
      <w:pPr>
        <w:spacing w:after="160" w:before="0" w:line="360" w:lineRule="exact"/>
        <w:jc w:val="both"/>
      </w:pPr>
      <w:r>
        <w:rPr>
          <w:rFonts w:ascii="Times New Roman" w:hAnsi="Times New Roman"/>
          <w:color w:val="000000"/>
          <w:sz w:val="24"/>
        </w:rPr>
        <w:t>The incentive structure is the mechanism that converts organisational intent into daily field behaviour. The current problem — as confirmed by 33 of 66 field entries — is that separate targets create separate incentives, which create competitive behaviour between teams that should be co-selling. The new structure must reward the unified outcome, not the individual metric.</w:t>
      </w:r>
    </w:p>
    <w:p>
      <w:pPr>
        <w:spacing w:before="240" w:after="60" w:line="360" w:lineRule="exact"/>
      </w:pPr>
      <w:r>
        <w:rPr>
          <w:rFonts w:ascii="Times New Roman" w:hAnsi="Times New Roman"/>
          <w:b/>
          <w:color w:val="003366"/>
          <w:sz w:val="24"/>
        </w:rPr>
        <w:t>6.1  Design Principles</w:t>
      </w:r>
    </w:p>
    <w:p>
      <w:pPr>
        <w:pStyle w:val="ListBullet"/>
        <w:spacing w:after="60" w:line="320" w:lineRule="exact"/>
        <w:ind w:left="432"/>
      </w:pPr>
      <w:r>
        <w:rPr>
          <w:rFonts w:ascii="Times New Roman" w:hAnsi="Times New Roman"/>
          <w:b/>
          <w:color w:val="003366"/>
          <w:sz w:val="24"/>
        </w:rPr>
        <w:t xml:space="preserve">One number per account:  </w:t>
      </w:r>
      <w:r>
        <w:rPr>
          <w:rFonts w:ascii="Times New Roman" w:hAnsi="Times New Roman"/>
          <w:color w:val="000000"/>
          <w:sz w:val="24"/>
        </w:rPr>
        <w:t>Every ROSA-linked account carries a combined revenue target. Both the ROSA specialist and the implant rep are measured against the same number.</w:t>
      </w:r>
    </w:p>
    <w:p>
      <w:pPr>
        <w:pStyle w:val="ListBullet"/>
        <w:spacing w:after="60" w:line="320" w:lineRule="exact"/>
        <w:ind w:left="432"/>
      </w:pPr>
      <w:r>
        <w:rPr>
          <w:rFonts w:ascii="Times New Roman" w:hAnsi="Times New Roman"/>
          <w:b/>
          <w:color w:val="003366"/>
          <w:sz w:val="24"/>
        </w:rPr>
        <w:t xml:space="preserve">Pull-through credit sharing:  </w:t>
      </w:r>
      <w:r>
        <w:rPr>
          <w:rFonts w:ascii="Times New Roman" w:hAnsi="Times New Roman"/>
          <w:color w:val="000000"/>
          <w:sz w:val="24"/>
        </w:rPr>
        <w:t>Pull-through is a shared KPI. Implant revenue from a ROSA case is credited to both the ROSA rep (30%) and the implant rep (70%). This creates a financial reason for the ROSA rep to drive implant conversion at every case.</w:t>
      </w:r>
    </w:p>
    <w:p>
      <w:pPr>
        <w:pStyle w:val="ListBullet"/>
        <w:spacing w:after="60" w:line="320" w:lineRule="exact"/>
        <w:ind w:left="432"/>
      </w:pPr>
      <w:r>
        <w:rPr>
          <w:rFonts w:ascii="Times New Roman" w:hAnsi="Times New Roman"/>
          <w:b/>
          <w:color w:val="003366"/>
          <w:sz w:val="24"/>
        </w:rPr>
        <w:t xml:space="preserve">Bundle bonus:  </w:t>
      </w:r>
      <w:r>
        <w:rPr>
          <w:rFonts w:ascii="Times New Roman" w:hAnsi="Times New Roman"/>
          <w:color w:val="000000"/>
          <w:sz w:val="24"/>
        </w:rPr>
        <w:t>Bundle adoption is separately incentivised. Closing a full bundle (ROSA + implant + accessories + mymobility) at a new corporate account carries a team bonus payable to both the ROSA specialist and the implant account manager jointly.</w:t>
      </w:r>
    </w:p>
    <w:p>
      <w:pPr>
        <w:pStyle w:val="ListBullet"/>
        <w:spacing w:after="60" w:line="320" w:lineRule="exact"/>
        <w:ind w:left="432"/>
      </w:pPr>
      <w:r>
        <w:rPr>
          <w:rFonts w:ascii="Times New Roman" w:hAnsi="Times New Roman"/>
          <w:b/>
          <w:color w:val="003366"/>
          <w:sz w:val="24"/>
        </w:rPr>
        <w:t xml:space="preserve">KOL credit:  </w:t>
      </w:r>
      <w:r>
        <w:rPr>
          <w:rFonts w:ascii="Times New Roman" w:hAnsi="Times New Roman"/>
          <w:color w:val="000000"/>
          <w:sz w:val="24"/>
        </w:rPr>
        <w:t>KOL activation is linked to the marketing bonus pool. Each KOL successfully onboarded and active within 90 days generates a shared credit for the field rep who nominated them and the KOL manager who activated them.</w:t>
      </w:r>
    </w:p>
    <w:p>
      <w:pPr>
        <w:pStyle w:val="ListBullet"/>
        <w:spacing w:after="60" w:line="320" w:lineRule="exact"/>
        <w:ind w:left="432"/>
      </w:pPr>
      <w:r>
        <w:rPr>
          <w:rFonts w:ascii="Times New Roman" w:hAnsi="Times New Roman"/>
          <w:b/>
          <w:color w:val="003366"/>
          <w:sz w:val="24"/>
        </w:rPr>
        <w:t xml:space="preserve">mymobility deployment:  </w:t>
      </w:r>
      <w:r>
        <w:rPr>
          <w:rFonts w:ascii="Times New Roman" w:hAnsi="Times New Roman"/>
          <w:color w:val="000000"/>
          <w:sz w:val="24"/>
        </w:rPr>
        <w:t>mymobility deployment earns a quarterly activation bonus for the field rep responsible for the account, payable on confirmation of at least 10 active patient users.</w:t>
      </w:r>
    </w:p>
    <w:p>
      <w:pPr>
        <w:spacing w:before="240" w:after="60" w:line="360" w:lineRule="exact"/>
      </w:pPr>
      <w:r>
        <w:rPr>
          <w:rFonts w:ascii="Times New Roman" w:hAnsi="Times New Roman"/>
          <w:b/>
          <w:color w:val="003366"/>
          <w:sz w:val="24"/>
        </w:rPr>
        <w:t>6.2  Incentive Framework — Targets and Reward Structure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3168"/>
            <w:shd w:val="clear" w:color="auto" w:fill="003366"/>
          </w:tcPr>
          <w:p>
            <w:pPr>
              <w:jc w:val="center"/>
            </w:pPr>
            <w:r>
              <w:rPr>
                <w:rFonts w:ascii="Times New Roman" w:hAnsi="Times New Roman"/>
                <w:b/>
                <w:color w:val="FFFFFF"/>
                <w:sz w:val="22"/>
              </w:rPr>
              <w:t>KPI</w:t>
            </w:r>
          </w:p>
        </w:tc>
        <w:tc>
          <w:tcPr>
            <w:tcW w:type="dxa" w:w="2160"/>
            <w:shd w:val="clear" w:color="auto" w:fill="003366"/>
          </w:tcPr>
          <w:p>
            <w:pPr>
              <w:jc w:val="center"/>
            </w:pPr>
            <w:r>
              <w:rPr>
                <w:rFonts w:ascii="Times New Roman" w:hAnsi="Times New Roman"/>
                <w:b/>
                <w:color w:val="FFFFFF"/>
                <w:sz w:val="22"/>
              </w:rPr>
              <w:t>Target (Quarterly)</w:t>
            </w:r>
          </w:p>
        </w:tc>
        <w:tc>
          <w:tcPr>
            <w:tcW w:type="dxa" w:w="1872"/>
            <w:shd w:val="clear" w:color="auto" w:fill="003366"/>
          </w:tcPr>
          <w:p>
            <w:pPr>
              <w:jc w:val="center"/>
            </w:pPr>
            <w:r>
              <w:rPr>
                <w:rFonts w:ascii="Times New Roman" w:hAnsi="Times New Roman"/>
                <w:b/>
                <w:color w:val="FFFFFF"/>
                <w:sz w:val="22"/>
              </w:rPr>
              <w:t>Individual Weight</w:t>
            </w:r>
          </w:p>
        </w:tc>
        <w:tc>
          <w:tcPr>
            <w:tcW w:type="dxa" w:w="2160"/>
            <w:shd w:val="clear" w:color="auto" w:fill="003366"/>
          </w:tcPr>
          <w:p>
            <w:pPr>
              <w:jc w:val="center"/>
            </w:pPr>
            <w:r>
              <w:rPr>
                <w:rFonts w:ascii="Times New Roman" w:hAnsi="Times New Roman"/>
                <w:b/>
                <w:color w:val="FFFFFF"/>
                <w:sz w:val="22"/>
              </w:rPr>
              <w:t>Team / Shared Bonus</w:t>
            </w:r>
          </w:p>
        </w:tc>
        <w:tc>
          <w:tcPr>
            <w:tcW w:type="dxa" w:w="2448"/>
            <w:shd w:val="clear" w:color="auto" w:fill="003366"/>
          </w:tcPr>
          <w:p>
            <w:pPr>
              <w:jc w:val="center"/>
            </w:pPr>
            <w:r>
              <w:rPr>
                <w:rFonts w:ascii="Times New Roman" w:hAnsi="Times New Roman"/>
                <w:b/>
                <w:color w:val="FFFFFF"/>
                <w:sz w:val="22"/>
              </w:rPr>
              <w:t>Measurement Owner</w:t>
            </w:r>
          </w:p>
        </w:tc>
      </w:tr>
      <w:tr>
        <w:tc>
          <w:tcPr>
            <w:tcW w:type="dxa" w:w="3168"/>
            <w:shd w:val="clear" w:color="auto" w:fill="F2F5F9"/>
          </w:tcPr>
          <w:p>
            <w:r>
              <w:rPr>
                <w:rFonts w:ascii="Times New Roman" w:hAnsi="Times New Roman"/>
                <w:b/>
                <w:color w:val="000000"/>
                <w:sz w:val="22"/>
              </w:rPr>
              <w:t>Combined account revenue (ROSA + implant)</w:t>
            </w:r>
          </w:p>
        </w:tc>
        <w:tc>
          <w:tcPr>
            <w:tcW w:type="dxa" w:w="2160"/>
            <w:shd w:val="clear" w:color="auto" w:fill="F2F5F9"/>
          </w:tcPr>
          <w:p>
            <w:r>
              <w:rPr>
                <w:rFonts w:ascii="Times New Roman" w:hAnsi="Times New Roman"/>
                <w:b w:val="0"/>
                <w:color w:val="000000"/>
                <w:sz w:val="22"/>
              </w:rPr>
              <w:t>100% of joint account target</w:t>
            </w:r>
          </w:p>
        </w:tc>
        <w:tc>
          <w:tcPr>
            <w:tcW w:type="dxa" w:w="1872"/>
            <w:shd w:val="clear" w:color="auto" w:fill="F2F5F9"/>
          </w:tcPr>
          <w:p>
            <w:r>
              <w:rPr>
                <w:rFonts w:ascii="Times New Roman" w:hAnsi="Times New Roman"/>
                <w:b w:val="0"/>
                <w:color w:val="000000"/>
                <w:sz w:val="22"/>
              </w:rPr>
              <w:t>50% of variable pay</w:t>
            </w:r>
          </w:p>
        </w:tc>
        <w:tc>
          <w:tcPr>
            <w:tcW w:type="dxa" w:w="2160"/>
            <w:shd w:val="clear" w:color="auto" w:fill="F2F5F9"/>
          </w:tcPr>
          <w:p>
            <w:r>
              <w:rPr>
                <w:rFonts w:ascii="Times New Roman" w:hAnsi="Times New Roman"/>
                <w:b w:val="0"/>
                <w:color w:val="000000"/>
                <w:sz w:val="22"/>
              </w:rPr>
              <w:t>Additional 10% if target exceeded</w:t>
            </w:r>
          </w:p>
        </w:tc>
        <w:tc>
          <w:tcPr>
            <w:tcW w:type="dxa" w:w="2448"/>
            <w:shd w:val="clear" w:color="auto" w:fill="F2F5F9"/>
          </w:tcPr>
          <w:p>
            <w:r>
              <w:rPr>
                <w:rFonts w:ascii="Times New Roman" w:hAnsi="Times New Roman"/>
                <w:b w:val="0"/>
                <w:color w:val="000000"/>
                <w:sz w:val="22"/>
              </w:rPr>
              <w:t>Unified Revenue Lead</w:t>
            </w:r>
          </w:p>
        </w:tc>
      </w:tr>
      <w:tr>
        <w:tc>
          <w:tcPr>
            <w:tcW w:type="dxa" w:w="3168"/>
            <w:shd w:val="clear" w:color="auto" w:fill="FFFFFF"/>
          </w:tcPr>
          <w:p>
            <w:r>
              <w:rPr>
                <w:rFonts w:ascii="Times New Roman" w:hAnsi="Times New Roman"/>
                <w:b/>
                <w:color w:val="000000"/>
                <w:sz w:val="22"/>
              </w:rPr>
              <w:t>ROSA case volume at installed accounts</w:t>
            </w:r>
          </w:p>
        </w:tc>
        <w:tc>
          <w:tcPr>
            <w:tcW w:type="dxa" w:w="2160"/>
            <w:shd w:val="clear" w:color="auto" w:fill="FFFFFF"/>
          </w:tcPr>
          <w:p>
            <w:r>
              <w:rPr>
                <w:rFonts w:ascii="Times New Roman" w:hAnsi="Times New Roman"/>
                <w:b w:val="0"/>
                <w:color w:val="000000"/>
                <w:sz w:val="22"/>
              </w:rPr>
              <w:t>+40% vs. prior quarter</w:t>
            </w:r>
          </w:p>
        </w:tc>
        <w:tc>
          <w:tcPr>
            <w:tcW w:type="dxa" w:w="1872"/>
            <w:shd w:val="clear" w:color="auto" w:fill="FFFFFF"/>
          </w:tcPr>
          <w:p>
            <w:r>
              <w:rPr>
                <w:rFonts w:ascii="Times New Roman" w:hAnsi="Times New Roman"/>
                <w:b w:val="0"/>
                <w:color w:val="000000"/>
                <w:sz w:val="22"/>
              </w:rPr>
              <w:t>15% of variable pay</w:t>
            </w:r>
          </w:p>
        </w:tc>
        <w:tc>
          <w:tcPr>
            <w:tcW w:type="dxa" w:w="2160"/>
            <w:shd w:val="clear" w:color="auto" w:fill="FFFFFF"/>
          </w:tcPr>
          <w:p>
            <w:r>
              <w:rPr>
                <w:rFonts w:ascii="Times New Roman" w:hAnsi="Times New Roman"/>
                <w:b w:val="0"/>
                <w:color w:val="000000"/>
                <w:sz w:val="22"/>
              </w:rPr>
              <w:t>Shared with implant rep at 30/70</w:t>
            </w:r>
          </w:p>
        </w:tc>
        <w:tc>
          <w:tcPr>
            <w:tcW w:type="dxa" w:w="2448"/>
            <w:shd w:val="clear" w:color="auto" w:fill="FFFFFF"/>
          </w:tcPr>
          <w:p>
            <w:r>
              <w:rPr>
                <w:rFonts w:ascii="Times New Roman" w:hAnsi="Times New Roman"/>
                <w:b w:val="0"/>
                <w:color w:val="000000"/>
                <w:sz w:val="22"/>
              </w:rPr>
              <w:t>ROSA Business Head</w:t>
            </w:r>
          </w:p>
        </w:tc>
      </w:tr>
      <w:tr>
        <w:tc>
          <w:tcPr>
            <w:tcW w:type="dxa" w:w="3168"/>
            <w:shd w:val="clear" w:color="auto" w:fill="F2F5F9"/>
          </w:tcPr>
          <w:p>
            <w:r>
              <w:rPr>
                <w:rFonts w:ascii="Times New Roman" w:hAnsi="Times New Roman"/>
                <w:b/>
                <w:color w:val="000000"/>
                <w:sz w:val="22"/>
              </w:rPr>
              <w:t>Implant pull-through per ROSA case</w:t>
            </w:r>
          </w:p>
        </w:tc>
        <w:tc>
          <w:tcPr>
            <w:tcW w:type="dxa" w:w="2160"/>
            <w:shd w:val="clear" w:color="auto" w:fill="F2F5F9"/>
          </w:tcPr>
          <w:p>
            <w:r>
              <w:rPr>
                <w:rFonts w:ascii="Times New Roman" w:hAnsi="Times New Roman"/>
                <w:b w:val="0"/>
                <w:color w:val="000000"/>
                <w:sz w:val="22"/>
              </w:rPr>
              <w:t>&gt;= 1.5 implants/case</w:t>
            </w:r>
          </w:p>
        </w:tc>
        <w:tc>
          <w:tcPr>
            <w:tcW w:type="dxa" w:w="1872"/>
            <w:shd w:val="clear" w:color="auto" w:fill="F2F5F9"/>
          </w:tcPr>
          <w:p>
            <w:r>
              <w:rPr>
                <w:rFonts w:ascii="Times New Roman" w:hAnsi="Times New Roman"/>
                <w:b w:val="0"/>
                <w:color w:val="000000"/>
                <w:sz w:val="22"/>
              </w:rPr>
              <w:t>15% of variable pay</w:t>
            </w:r>
          </w:p>
        </w:tc>
        <w:tc>
          <w:tcPr>
            <w:tcW w:type="dxa" w:w="2160"/>
            <w:shd w:val="clear" w:color="auto" w:fill="F2F5F9"/>
          </w:tcPr>
          <w:p>
            <w:r>
              <w:rPr>
                <w:rFonts w:ascii="Times New Roman" w:hAnsi="Times New Roman"/>
                <w:b w:val="0"/>
                <w:color w:val="000000"/>
                <w:sz w:val="22"/>
              </w:rPr>
              <w:t>Shared with ROSA rep at 70/30</w:t>
            </w:r>
          </w:p>
        </w:tc>
        <w:tc>
          <w:tcPr>
            <w:tcW w:type="dxa" w:w="2448"/>
            <w:shd w:val="clear" w:color="auto" w:fill="F2F5F9"/>
          </w:tcPr>
          <w:p>
            <w:r>
              <w:rPr>
                <w:rFonts w:ascii="Times New Roman" w:hAnsi="Times New Roman"/>
                <w:b w:val="0"/>
                <w:color w:val="000000"/>
                <w:sz w:val="22"/>
              </w:rPr>
              <w:t>NSH</w:t>
            </w:r>
          </w:p>
        </w:tc>
      </w:tr>
      <w:tr>
        <w:tc>
          <w:tcPr>
            <w:tcW w:type="dxa" w:w="3168"/>
            <w:shd w:val="clear" w:color="auto" w:fill="FFFFFF"/>
          </w:tcPr>
          <w:p>
            <w:r>
              <w:rPr>
                <w:rFonts w:ascii="Times New Roman" w:hAnsi="Times New Roman"/>
                <w:b/>
                <w:color w:val="000000"/>
                <w:sz w:val="22"/>
              </w:rPr>
              <w:t>Bundle proposal submissions</w:t>
            </w:r>
          </w:p>
        </w:tc>
        <w:tc>
          <w:tcPr>
            <w:tcW w:type="dxa" w:w="2160"/>
            <w:shd w:val="clear" w:color="auto" w:fill="FFFFFF"/>
          </w:tcPr>
          <w:p>
            <w:r>
              <w:rPr>
                <w:rFonts w:ascii="Times New Roman" w:hAnsi="Times New Roman"/>
                <w:b w:val="0"/>
                <w:color w:val="000000"/>
                <w:sz w:val="22"/>
              </w:rPr>
              <w:t>20 proposals per quarter</w:t>
            </w:r>
          </w:p>
        </w:tc>
        <w:tc>
          <w:tcPr>
            <w:tcW w:type="dxa" w:w="1872"/>
            <w:shd w:val="clear" w:color="auto" w:fill="FFFFFF"/>
          </w:tcPr>
          <w:p>
            <w:r>
              <w:rPr>
                <w:rFonts w:ascii="Times New Roman" w:hAnsi="Times New Roman"/>
                <w:b w:val="0"/>
                <w:color w:val="000000"/>
                <w:sz w:val="22"/>
              </w:rPr>
              <w:t>10% of variable pay</w:t>
            </w:r>
          </w:p>
        </w:tc>
        <w:tc>
          <w:tcPr>
            <w:tcW w:type="dxa" w:w="2160"/>
            <w:shd w:val="clear" w:color="auto" w:fill="FFFFFF"/>
          </w:tcPr>
          <w:p>
            <w:r>
              <w:rPr>
                <w:rFonts w:ascii="Times New Roman" w:hAnsi="Times New Roman"/>
                <w:b w:val="0"/>
                <w:color w:val="000000"/>
                <w:sz w:val="22"/>
              </w:rPr>
              <w:t>Team bonus on first bundle close</w:t>
            </w:r>
          </w:p>
        </w:tc>
        <w:tc>
          <w:tcPr>
            <w:tcW w:type="dxa" w:w="2448"/>
            <w:shd w:val="clear" w:color="auto" w:fill="FFFFFF"/>
          </w:tcPr>
          <w:p>
            <w:r>
              <w:rPr>
                <w:rFonts w:ascii="Times New Roman" w:hAnsi="Times New Roman"/>
                <w:b w:val="0"/>
                <w:color w:val="000000"/>
                <w:sz w:val="22"/>
              </w:rPr>
              <w:t>Head of Unified Marketing</w:t>
            </w:r>
          </w:p>
        </w:tc>
      </w:tr>
      <w:tr>
        <w:tc>
          <w:tcPr>
            <w:tcW w:type="dxa" w:w="3168"/>
            <w:shd w:val="clear" w:color="auto" w:fill="F2F5F9"/>
          </w:tcPr>
          <w:p>
            <w:r>
              <w:rPr>
                <w:rFonts w:ascii="Times New Roman" w:hAnsi="Times New Roman"/>
                <w:b/>
                <w:color w:val="000000"/>
                <w:sz w:val="22"/>
              </w:rPr>
              <w:t>KOL activation</w:t>
            </w:r>
          </w:p>
        </w:tc>
        <w:tc>
          <w:tcPr>
            <w:tcW w:type="dxa" w:w="2160"/>
            <w:shd w:val="clear" w:color="auto" w:fill="F2F5F9"/>
          </w:tcPr>
          <w:p>
            <w:r>
              <w:rPr>
                <w:rFonts w:ascii="Times New Roman" w:hAnsi="Times New Roman"/>
                <w:b w:val="0"/>
                <w:color w:val="000000"/>
                <w:sz w:val="22"/>
              </w:rPr>
              <w:t>2 KOLs per region per quarter</w:t>
            </w:r>
          </w:p>
        </w:tc>
        <w:tc>
          <w:tcPr>
            <w:tcW w:type="dxa" w:w="1872"/>
            <w:shd w:val="clear" w:color="auto" w:fill="F2F5F9"/>
          </w:tcPr>
          <w:p>
            <w:r>
              <w:rPr>
                <w:rFonts w:ascii="Times New Roman" w:hAnsi="Times New Roman"/>
                <w:b w:val="0"/>
                <w:color w:val="000000"/>
                <w:sz w:val="22"/>
              </w:rPr>
              <w:t>5% of variable pay</w:t>
            </w:r>
          </w:p>
        </w:tc>
        <w:tc>
          <w:tcPr>
            <w:tcW w:type="dxa" w:w="2160"/>
            <w:shd w:val="clear" w:color="auto" w:fill="F2F5F9"/>
          </w:tcPr>
          <w:p>
            <w:r>
              <w:rPr>
                <w:rFonts w:ascii="Times New Roman" w:hAnsi="Times New Roman"/>
                <w:b w:val="0"/>
                <w:color w:val="000000"/>
                <w:sz w:val="22"/>
              </w:rPr>
              <w:t>Joint credit with KOL Manager</w:t>
            </w:r>
          </w:p>
        </w:tc>
        <w:tc>
          <w:tcPr>
            <w:tcW w:type="dxa" w:w="2448"/>
            <w:shd w:val="clear" w:color="auto" w:fill="F2F5F9"/>
          </w:tcPr>
          <w:p>
            <w:r>
              <w:rPr>
                <w:rFonts w:ascii="Times New Roman" w:hAnsi="Times New Roman"/>
                <w:b w:val="0"/>
                <w:color w:val="000000"/>
                <w:sz w:val="22"/>
              </w:rPr>
              <w:t>Head of Unified Marketing</w:t>
            </w:r>
          </w:p>
        </w:tc>
      </w:tr>
      <w:tr>
        <w:tc>
          <w:tcPr>
            <w:tcW w:type="dxa" w:w="3168"/>
            <w:shd w:val="clear" w:color="auto" w:fill="FFFFFF"/>
          </w:tcPr>
          <w:p>
            <w:r>
              <w:rPr>
                <w:rFonts w:ascii="Times New Roman" w:hAnsi="Times New Roman"/>
                <w:b/>
                <w:color w:val="000000"/>
                <w:sz w:val="22"/>
              </w:rPr>
              <w:t>mymobility deployment</w:t>
            </w:r>
          </w:p>
        </w:tc>
        <w:tc>
          <w:tcPr>
            <w:tcW w:type="dxa" w:w="2160"/>
            <w:shd w:val="clear" w:color="auto" w:fill="FFFFFF"/>
          </w:tcPr>
          <w:p>
            <w:r>
              <w:rPr>
                <w:rFonts w:ascii="Times New Roman" w:hAnsi="Times New Roman"/>
                <w:b w:val="0"/>
                <w:color w:val="000000"/>
                <w:sz w:val="22"/>
              </w:rPr>
              <w:t>3 new accounts per quarter</w:t>
            </w:r>
          </w:p>
        </w:tc>
        <w:tc>
          <w:tcPr>
            <w:tcW w:type="dxa" w:w="1872"/>
            <w:shd w:val="clear" w:color="auto" w:fill="FFFFFF"/>
          </w:tcPr>
          <w:p>
            <w:r>
              <w:rPr>
                <w:rFonts w:ascii="Times New Roman" w:hAnsi="Times New Roman"/>
                <w:b w:val="0"/>
                <w:color w:val="000000"/>
                <w:sz w:val="22"/>
              </w:rPr>
              <w:t>5% of variable pay</w:t>
            </w:r>
          </w:p>
        </w:tc>
        <w:tc>
          <w:tcPr>
            <w:tcW w:type="dxa" w:w="2160"/>
            <w:shd w:val="clear" w:color="auto" w:fill="FFFFFF"/>
          </w:tcPr>
          <w:p>
            <w:r>
              <w:rPr>
                <w:rFonts w:ascii="Times New Roman" w:hAnsi="Times New Roman"/>
                <w:b w:val="0"/>
                <w:color w:val="000000"/>
                <w:sz w:val="22"/>
              </w:rPr>
              <w:t>Activation bonus on 10+ users</w:t>
            </w:r>
          </w:p>
        </w:tc>
        <w:tc>
          <w:tcPr>
            <w:tcW w:type="dxa" w:w="2448"/>
            <w:shd w:val="clear" w:color="auto" w:fill="FFFFFF"/>
          </w:tcPr>
          <w:p>
            <w:r>
              <w:rPr>
                <w:rFonts w:ascii="Times New Roman" w:hAnsi="Times New Roman"/>
                <w:b w:val="0"/>
                <w:color w:val="000000"/>
                <w:sz w:val="22"/>
              </w:rPr>
              <w:t>Digital Health Lead</w:t>
            </w:r>
          </w:p>
        </w:tc>
      </w:tr>
    </w:tbl>
    <w:p/>
    <w:p>
      <w:pPr>
        <w:spacing w:before="240" w:after="60" w:line="360" w:lineRule="exact"/>
      </w:pPr>
      <w:r>
        <w:rPr>
          <w:rFonts w:ascii="Times New Roman" w:hAnsi="Times New Roman"/>
          <w:b/>
          <w:color w:val="003366"/>
          <w:sz w:val="24"/>
        </w:rPr>
        <w:t>6.3  Escalation and Governance</w:t>
      </w:r>
    </w:p>
    <w:p>
      <w:pPr>
        <w:spacing w:after="160" w:before="0" w:line="360" w:lineRule="exact"/>
        <w:jc w:val="both"/>
      </w:pPr>
      <w:r>
        <w:rPr>
          <w:rFonts w:ascii="Times New Roman" w:hAnsi="Times New Roman"/>
          <w:color w:val="000000"/>
          <w:sz w:val="24"/>
        </w:rPr>
        <w:t>The Country Head chairs a monthly commercial review at which the combined Implant + ROSA performance per territory is presented against the joint targets above. Any territory where the pull-through rate falls below 1.2 implants per ROSA case triggers a mandatory joint review between the Unified Revenue Lead, the ROSA Business Head and the National Sales Head within 10 working days. The UMT attends and presents the narrative or institutional access issue, if one exists.</w:t>
      </w:r>
    </w:p>
    <w:p>
      <w:pPr>
        <w:spacing w:before="120" w:after="200" w:line="320" w:lineRule="exact"/>
        <w:ind w:left="360" w:right="360"/>
        <w:pBdr>
          <w:left w:val="single" w:sz="16" w:space="6" w:color="003366"/>
        </w:pBdr>
      </w:pPr>
      <w:r>
        <w:rPr>
          <w:rFonts w:ascii="Times New Roman" w:hAnsi="Times New Roman"/>
          <w:i/>
          <w:color w:val="003366"/>
          <w:sz w:val="24"/>
        </w:rPr>
        <w:t>The incentive structure described here requires no increase in the total variable pay budget. It is a re-allocation of existing variable pay components against unified rather than siloed metrics. The Country Head can approve this through a single commercial policy revision.</w:t>
      </w:r>
    </w:p>
    <w:p>
      <w:pPr>
        <w:spacing w:before="360" w:after="80" w:line="400" w:lineRule="exact"/>
        <w:pBdr>
          <w:bottom w:val="single" w:sz="8" w:space="2" w:color="003366"/>
        </w:pBdr>
      </w:pPr>
      <w:r>
        <w:rPr>
          <w:rFonts w:ascii="Times New Roman" w:hAnsi="Times New Roman"/>
          <w:b/>
          <w:color w:val="003366"/>
          <w:sz w:val="26"/>
        </w:rPr>
        <w:t>SECTION 7: DECISION AND ACTION TIMELINE — WHAT THE COUNTRY HEAD MUST APPROVE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432"/>
            <w:shd w:val="clear" w:color="auto" w:fill="003366"/>
          </w:tcPr>
          <w:p>
            <w:pPr>
              <w:jc w:val="center"/>
            </w:pPr>
            <w:r>
              <w:rPr>
                <w:rFonts w:ascii="Times New Roman" w:hAnsi="Times New Roman"/>
                <w:b/>
                <w:color w:val="FFFFFF"/>
                <w:sz w:val="22"/>
              </w:rPr>
              <w:t>#</w:t>
            </w:r>
          </w:p>
        </w:tc>
        <w:tc>
          <w:tcPr>
            <w:tcW w:type="dxa" w:w="4032"/>
            <w:shd w:val="clear" w:color="auto" w:fill="003366"/>
          </w:tcPr>
          <w:p>
            <w:pPr>
              <w:jc w:val="center"/>
            </w:pPr>
            <w:r>
              <w:rPr>
                <w:rFonts w:ascii="Times New Roman" w:hAnsi="Times New Roman"/>
                <w:b/>
                <w:color w:val="FFFFFF"/>
                <w:sz w:val="22"/>
              </w:rPr>
              <w:t>Decision / Action</w:t>
            </w:r>
          </w:p>
        </w:tc>
        <w:tc>
          <w:tcPr>
            <w:tcW w:type="dxa" w:w="2016"/>
            <w:shd w:val="clear" w:color="auto" w:fill="003366"/>
          </w:tcPr>
          <w:p>
            <w:pPr>
              <w:jc w:val="center"/>
            </w:pPr>
            <w:r>
              <w:rPr>
                <w:rFonts w:ascii="Times New Roman" w:hAnsi="Times New Roman"/>
                <w:b/>
                <w:color w:val="FFFFFF"/>
                <w:sz w:val="22"/>
              </w:rPr>
              <w:t>Owner</w:t>
            </w:r>
          </w:p>
        </w:tc>
        <w:tc>
          <w:tcPr>
            <w:tcW w:type="dxa" w:w="1152"/>
            <w:shd w:val="clear" w:color="auto" w:fill="003366"/>
          </w:tcPr>
          <w:p>
            <w:pPr>
              <w:jc w:val="center"/>
            </w:pPr>
            <w:r>
              <w:rPr>
                <w:rFonts w:ascii="Times New Roman" w:hAnsi="Times New Roman"/>
                <w:b/>
                <w:color w:val="FFFFFF"/>
                <w:sz w:val="22"/>
              </w:rPr>
              <w:t>Deadline</w:t>
            </w:r>
          </w:p>
        </w:tc>
        <w:tc>
          <w:tcPr>
            <w:tcW w:type="dxa" w:w="2880"/>
            <w:shd w:val="clear" w:color="auto" w:fill="003366"/>
          </w:tcPr>
          <w:p>
            <w:pPr>
              <w:jc w:val="center"/>
            </w:pPr>
            <w:r>
              <w:rPr>
                <w:rFonts w:ascii="Times New Roman" w:hAnsi="Times New Roman"/>
                <w:b/>
                <w:color w:val="FFFFFF"/>
                <w:sz w:val="22"/>
              </w:rPr>
              <w:t>Unlocks</w:t>
            </w:r>
          </w:p>
        </w:tc>
      </w:tr>
      <w:tr>
        <w:tc>
          <w:tcPr>
            <w:tcW w:type="dxa" w:w="432"/>
            <w:shd w:val="clear" w:color="auto" w:fill="F2F5F9"/>
          </w:tcPr>
          <w:p>
            <w:r>
              <w:rPr>
                <w:rFonts w:ascii="Times New Roman" w:hAnsi="Times New Roman"/>
                <w:b/>
                <w:color w:val="000000"/>
                <w:sz w:val="22"/>
              </w:rPr>
              <w:t>D1</w:t>
            </w:r>
          </w:p>
        </w:tc>
        <w:tc>
          <w:tcPr>
            <w:tcW w:type="dxa" w:w="4032"/>
            <w:shd w:val="clear" w:color="auto" w:fill="F2F5F9"/>
          </w:tcPr>
          <w:p>
            <w:r>
              <w:rPr>
                <w:rFonts w:ascii="Times New Roman" w:hAnsi="Times New Roman"/>
                <w:b w:val="0"/>
                <w:color w:val="000000"/>
                <w:sz w:val="22"/>
              </w:rPr>
              <w:t>Designate Unified Revenue Leads for all 8 territories; mandate joint account plans for all ROSA sites</w:t>
            </w:r>
          </w:p>
        </w:tc>
        <w:tc>
          <w:tcPr>
            <w:tcW w:type="dxa" w:w="2016"/>
            <w:shd w:val="clear" w:color="auto" w:fill="F2F5F9"/>
          </w:tcPr>
          <w:p>
            <w:r>
              <w:rPr>
                <w:rFonts w:ascii="Times New Roman" w:hAnsi="Times New Roman"/>
                <w:b w:val="0"/>
                <w:color w:val="000000"/>
                <w:sz w:val="22"/>
              </w:rPr>
              <w:t>Country Head</w:t>
            </w:r>
          </w:p>
        </w:tc>
        <w:tc>
          <w:tcPr>
            <w:tcW w:type="dxa" w:w="1152"/>
            <w:shd w:val="clear" w:color="auto" w:fill="F2F5F9"/>
          </w:tcPr>
          <w:p>
            <w:r>
              <w:rPr>
                <w:rFonts w:ascii="Times New Roman" w:hAnsi="Times New Roman"/>
                <w:b w:val="0"/>
                <w:color w:val="000000"/>
                <w:sz w:val="22"/>
              </w:rPr>
              <w:t>Week 1</w:t>
            </w:r>
          </w:p>
        </w:tc>
        <w:tc>
          <w:tcPr>
            <w:tcW w:type="dxa" w:w="2880"/>
            <w:shd w:val="clear" w:color="auto" w:fill="F2F5F9"/>
          </w:tcPr>
          <w:p>
            <w:r>
              <w:rPr>
                <w:rFonts w:ascii="Times New Roman" w:hAnsi="Times New Roman"/>
                <w:b w:val="0"/>
                <w:color w:val="000000"/>
                <w:sz w:val="22"/>
              </w:rPr>
              <w:t>Team synergy; shared P&amp;L; bundle selling</w:t>
            </w:r>
          </w:p>
        </w:tc>
      </w:tr>
      <w:tr>
        <w:tc>
          <w:tcPr>
            <w:tcW w:type="dxa" w:w="432"/>
            <w:shd w:val="clear" w:color="auto" w:fill="FFFFFF"/>
          </w:tcPr>
          <w:p>
            <w:r>
              <w:rPr>
                <w:rFonts w:ascii="Times New Roman" w:hAnsi="Times New Roman"/>
                <w:b/>
                <w:color w:val="000000"/>
                <w:sz w:val="22"/>
              </w:rPr>
              <w:t>D2</w:t>
            </w:r>
          </w:p>
        </w:tc>
        <w:tc>
          <w:tcPr>
            <w:tcW w:type="dxa" w:w="4032"/>
            <w:shd w:val="clear" w:color="auto" w:fill="FFFFFF"/>
          </w:tcPr>
          <w:p>
            <w:r>
              <w:rPr>
                <w:rFonts w:ascii="Times New Roman" w:hAnsi="Times New Roman"/>
                <w:b w:val="0"/>
                <w:color w:val="000000"/>
                <w:sz w:val="22"/>
              </w:rPr>
              <w:t>Approve ROSA + Implant + Accessories + mymobility bundle with floor pricing and approval matrix</w:t>
            </w:r>
          </w:p>
        </w:tc>
        <w:tc>
          <w:tcPr>
            <w:tcW w:type="dxa" w:w="2016"/>
            <w:shd w:val="clear" w:color="auto" w:fill="FFFFFF"/>
          </w:tcPr>
          <w:p>
            <w:r>
              <w:rPr>
                <w:rFonts w:ascii="Times New Roman" w:hAnsi="Times New Roman"/>
                <w:b w:val="0"/>
                <w:color w:val="000000"/>
                <w:sz w:val="22"/>
              </w:rPr>
              <w:t>Commercial Head + CFO</w:t>
            </w:r>
          </w:p>
        </w:tc>
        <w:tc>
          <w:tcPr>
            <w:tcW w:type="dxa" w:w="1152"/>
            <w:shd w:val="clear" w:color="auto" w:fill="FFFFFF"/>
          </w:tcPr>
          <w:p>
            <w:r>
              <w:rPr>
                <w:rFonts w:ascii="Times New Roman" w:hAnsi="Times New Roman"/>
                <w:b w:val="0"/>
                <w:color w:val="000000"/>
                <w:sz w:val="22"/>
              </w:rPr>
              <w:t>Week 2</w:t>
            </w:r>
          </w:p>
        </w:tc>
        <w:tc>
          <w:tcPr>
            <w:tcW w:type="dxa" w:w="2880"/>
            <w:shd w:val="clear" w:color="auto" w:fill="FFFFFF"/>
          </w:tcPr>
          <w:p>
            <w:r>
              <w:rPr>
                <w:rFonts w:ascii="Times New Roman" w:hAnsi="Times New Roman"/>
                <w:b w:val="0"/>
                <w:color w:val="000000"/>
                <w:sz w:val="22"/>
              </w:rPr>
              <w:t>42 waiting accounts; Rs. 1.6 Cr pipeline</w:t>
            </w:r>
          </w:p>
        </w:tc>
      </w:tr>
      <w:tr>
        <w:tc>
          <w:tcPr>
            <w:tcW w:type="dxa" w:w="432"/>
            <w:shd w:val="clear" w:color="auto" w:fill="F2F5F9"/>
          </w:tcPr>
          <w:p>
            <w:r>
              <w:rPr>
                <w:rFonts w:ascii="Times New Roman" w:hAnsi="Times New Roman"/>
                <w:b/>
                <w:color w:val="000000"/>
                <w:sz w:val="22"/>
              </w:rPr>
              <w:t>D3</w:t>
            </w:r>
          </w:p>
        </w:tc>
        <w:tc>
          <w:tcPr>
            <w:tcW w:type="dxa" w:w="4032"/>
            <w:shd w:val="clear" w:color="auto" w:fill="F2F5F9"/>
          </w:tcPr>
          <w:p>
            <w:r>
              <w:rPr>
                <w:rFonts w:ascii="Times New Roman" w:hAnsi="Times New Roman"/>
                <w:b w:val="0"/>
                <w:color w:val="000000"/>
                <w:sz w:val="22"/>
              </w:rPr>
              <w:t>Announce 5-Year Comprehensive Warranty Programme; brief UMT and field</w:t>
            </w:r>
          </w:p>
        </w:tc>
        <w:tc>
          <w:tcPr>
            <w:tcW w:type="dxa" w:w="2016"/>
            <w:shd w:val="clear" w:color="auto" w:fill="F2F5F9"/>
          </w:tcPr>
          <w:p>
            <w:r>
              <w:rPr>
                <w:rFonts w:ascii="Times New Roman" w:hAnsi="Times New Roman"/>
                <w:b w:val="0"/>
                <w:color w:val="000000"/>
                <w:sz w:val="22"/>
              </w:rPr>
              <w:t>Country Head + ROSA Head</w:t>
            </w:r>
          </w:p>
        </w:tc>
        <w:tc>
          <w:tcPr>
            <w:tcW w:type="dxa" w:w="1152"/>
            <w:shd w:val="clear" w:color="auto" w:fill="F2F5F9"/>
          </w:tcPr>
          <w:p>
            <w:r>
              <w:rPr>
                <w:rFonts w:ascii="Times New Roman" w:hAnsi="Times New Roman"/>
                <w:b w:val="0"/>
                <w:color w:val="000000"/>
                <w:sz w:val="22"/>
              </w:rPr>
              <w:t>Week 2</w:t>
            </w:r>
          </w:p>
        </w:tc>
        <w:tc>
          <w:tcPr>
            <w:tcW w:type="dxa" w:w="2880"/>
            <w:shd w:val="clear" w:color="auto" w:fill="F2F5F9"/>
          </w:tcPr>
          <w:p>
            <w:r>
              <w:rPr>
                <w:rFonts w:ascii="Times New Roman" w:hAnsi="Times New Roman"/>
                <w:b w:val="0"/>
                <w:color w:val="000000"/>
                <w:sz w:val="22"/>
              </w:rPr>
              <w:t>Corporate procurement conversations; CMO credibility</w:t>
            </w:r>
          </w:p>
        </w:tc>
      </w:tr>
      <w:tr>
        <w:tc>
          <w:tcPr>
            <w:tcW w:type="dxa" w:w="432"/>
            <w:shd w:val="clear" w:color="auto" w:fill="FFFFFF"/>
          </w:tcPr>
          <w:p>
            <w:r>
              <w:rPr>
                <w:rFonts w:ascii="Times New Roman" w:hAnsi="Times New Roman"/>
                <w:b/>
                <w:color w:val="000000"/>
                <w:sz w:val="22"/>
              </w:rPr>
              <w:t>D4</w:t>
            </w:r>
          </w:p>
        </w:tc>
        <w:tc>
          <w:tcPr>
            <w:tcW w:type="dxa" w:w="4032"/>
            <w:shd w:val="clear" w:color="auto" w:fill="FFFFFF"/>
          </w:tcPr>
          <w:p>
            <w:r>
              <w:rPr>
                <w:rFonts w:ascii="Times New Roman" w:hAnsi="Times New Roman"/>
                <w:b w:val="0"/>
                <w:color w:val="000000"/>
                <w:sz w:val="22"/>
              </w:rPr>
              <w:t>Form Unified Marketing Team; designate Head of Unified Marketing</w:t>
            </w:r>
          </w:p>
        </w:tc>
        <w:tc>
          <w:tcPr>
            <w:tcW w:type="dxa" w:w="2016"/>
            <w:shd w:val="clear" w:color="auto" w:fill="FFFFFF"/>
          </w:tcPr>
          <w:p>
            <w:r>
              <w:rPr>
                <w:rFonts w:ascii="Times New Roman" w:hAnsi="Times New Roman"/>
                <w:b w:val="0"/>
                <w:color w:val="000000"/>
                <w:sz w:val="22"/>
              </w:rPr>
              <w:t>Country Head + HR</w:t>
            </w:r>
          </w:p>
        </w:tc>
        <w:tc>
          <w:tcPr>
            <w:tcW w:type="dxa" w:w="1152"/>
            <w:shd w:val="clear" w:color="auto" w:fill="FFFFFF"/>
          </w:tcPr>
          <w:p>
            <w:r>
              <w:rPr>
                <w:rFonts w:ascii="Times New Roman" w:hAnsi="Times New Roman"/>
                <w:b w:val="0"/>
                <w:color w:val="000000"/>
                <w:sz w:val="22"/>
              </w:rPr>
              <w:t>Week 3</w:t>
            </w:r>
          </w:p>
        </w:tc>
        <w:tc>
          <w:tcPr>
            <w:tcW w:type="dxa" w:w="2880"/>
            <w:shd w:val="clear" w:color="auto" w:fill="FFFFFF"/>
          </w:tcPr>
          <w:p>
            <w:r>
              <w:rPr>
                <w:rFonts w:ascii="Times New Roman" w:hAnsi="Times New Roman"/>
                <w:b w:val="0"/>
                <w:color w:val="000000"/>
                <w:sz w:val="22"/>
              </w:rPr>
              <w:t>Narrative standardisation; KOL programme; mymobility</w:t>
            </w:r>
          </w:p>
        </w:tc>
      </w:tr>
      <w:tr>
        <w:tc>
          <w:tcPr>
            <w:tcW w:type="dxa" w:w="432"/>
            <w:shd w:val="clear" w:color="auto" w:fill="F2F5F9"/>
          </w:tcPr>
          <w:p>
            <w:r>
              <w:rPr>
                <w:rFonts w:ascii="Times New Roman" w:hAnsi="Times New Roman"/>
                <w:b/>
                <w:color w:val="000000"/>
                <w:sz w:val="22"/>
              </w:rPr>
              <w:t>D5</w:t>
            </w:r>
          </w:p>
        </w:tc>
        <w:tc>
          <w:tcPr>
            <w:tcW w:type="dxa" w:w="4032"/>
            <w:shd w:val="clear" w:color="auto" w:fill="F2F5F9"/>
          </w:tcPr>
          <w:p>
            <w:r>
              <w:rPr>
                <w:rFonts w:ascii="Times New Roman" w:hAnsi="Times New Roman"/>
                <w:b w:val="0"/>
                <w:color w:val="000000"/>
                <w:sz w:val="22"/>
              </w:rPr>
              <w:t>Sign off revised RACI for corporate accounts, pricing approvals and KOL ownership</w:t>
            </w:r>
          </w:p>
        </w:tc>
        <w:tc>
          <w:tcPr>
            <w:tcW w:type="dxa" w:w="2016"/>
            <w:shd w:val="clear" w:color="auto" w:fill="F2F5F9"/>
          </w:tcPr>
          <w:p>
            <w:r>
              <w:rPr>
                <w:rFonts w:ascii="Times New Roman" w:hAnsi="Times New Roman"/>
                <w:b w:val="0"/>
                <w:color w:val="000000"/>
                <w:sz w:val="22"/>
              </w:rPr>
              <w:t>Country Head</w:t>
            </w:r>
          </w:p>
        </w:tc>
        <w:tc>
          <w:tcPr>
            <w:tcW w:type="dxa" w:w="1152"/>
            <w:shd w:val="clear" w:color="auto" w:fill="F2F5F9"/>
          </w:tcPr>
          <w:p>
            <w:r>
              <w:rPr>
                <w:rFonts w:ascii="Times New Roman" w:hAnsi="Times New Roman"/>
                <w:b w:val="0"/>
                <w:color w:val="000000"/>
                <w:sz w:val="22"/>
              </w:rPr>
              <w:t>Week 3</w:t>
            </w:r>
          </w:p>
        </w:tc>
        <w:tc>
          <w:tcPr>
            <w:tcW w:type="dxa" w:w="2880"/>
            <w:shd w:val="clear" w:color="auto" w:fill="F2F5F9"/>
          </w:tcPr>
          <w:p>
            <w:r>
              <w:rPr>
                <w:rFonts w:ascii="Times New Roman" w:hAnsi="Times New Roman"/>
                <w:b w:val="0"/>
                <w:color w:val="000000"/>
                <w:sz w:val="22"/>
              </w:rPr>
              <w:t>Removes cross-functional fragmentation</w:t>
            </w:r>
          </w:p>
        </w:tc>
      </w:tr>
      <w:tr>
        <w:tc>
          <w:tcPr>
            <w:tcW w:type="dxa" w:w="432"/>
            <w:shd w:val="clear" w:color="auto" w:fill="FFFFFF"/>
          </w:tcPr>
          <w:p>
            <w:r>
              <w:rPr>
                <w:rFonts w:ascii="Times New Roman" w:hAnsi="Times New Roman"/>
                <w:b/>
                <w:color w:val="000000"/>
                <w:sz w:val="22"/>
              </w:rPr>
              <w:t>D6</w:t>
            </w:r>
          </w:p>
        </w:tc>
        <w:tc>
          <w:tcPr>
            <w:tcW w:type="dxa" w:w="4032"/>
            <w:shd w:val="clear" w:color="auto" w:fill="FFFFFF"/>
          </w:tcPr>
          <w:p>
            <w:r>
              <w:rPr>
                <w:rFonts w:ascii="Times New Roman" w:hAnsi="Times New Roman"/>
                <w:b w:val="0"/>
                <w:color w:val="000000"/>
                <w:sz w:val="22"/>
              </w:rPr>
              <w:t>Approve revised incentive structure (common goals framework)</w:t>
            </w:r>
          </w:p>
        </w:tc>
        <w:tc>
          <w:tcPr>
            <w:tcW w:type="dxa" w:w="2016"/>
            <w:shd w:val="clear" w:color="auto" w:fill="FFFFFF"/>
          </w:tcPr>
          <w:p>
            <w:r>
              <w:rPr>
                <w:rFonts w:ascii="Times New Roman" w:hAnsi="Times New Roman"/>
                <w:b w:val="0"/>
                <w:color w:val="000000"/>
                <w:sz w:val="22"/>
              </w:rPr>
              <w:t>Country Head + HR</w:t>
            </w:r>
          </w:p>
        </w:tc>
        <w:tc>
          <w:tcPr>
            <w:tcW w:type="dxa" w:w="1152"/>
            <w:shd w:val="clear" w:color="auto" w:fill="FFFFFF"/>
          </w:tcPr>
          <w:p>
            <w:r>
              <w:rPr>
                <w:rFonts w:ascii="Times New Roman" w:hAnsi="Times New Roman"/>
                <w:b w:val="0"/>
                <w:color w:val="000000"/>
                <w:sz w:val="22"/>
              </w:rPr>
              <w:t>Week 4</w:t>
            </w:r>
          </w:p>
        </w:tc>
        <w:tc>
          <w:tcPr>
            <w:tcW w:type="dxa" w:w="2880"/>
            <w:shd w:val="clear" w:color="auto" w:fill="FFFFFF"/>
          </w:tcPr>
          <w:p>
            <w:r>
              <w:rPr>
                <w:rFonts w:ascii="Times New Roman" w:hAnsi="Times New Roman"/>
                <w:b w:val="0"/>
                <w:color w:val="000000"/>
                <w:sz w:val="22"/>
              </w:rPr>
              <w:t>Removes competitive behaviour; activates pull-through</w:t>
            </w:r>
          </w:p>
        </w:tc>
      </w:tr>
      <w:tr>
        <w:tc>
          <w:tcPr>
            <w:tcW w:type="dxa" w:w="432"/>
            <w:shd w:val="clear" w:color="auto" w:fill="F2F5F9"/>
          </w:tcPr>
          <w:p>
            <w:r>
              <w:rPr>
                <w:rFonts w:ascii="Times New Roman" w:hAnsi="Times New Roman"/>
                <w:b/>
                <w:color w:val="000000"/>
                <w:sz w:val="22"/>
              </w:rPr>
              <w:t>D7</w:t>
            </w:r>
          </w:p>
        </w:tc>
        <w:tc>
          <w:tcPr>
            <w:tcW w:type="dxa" w:w="4032"/>
            <w:shd w:val="clear" w:color="auto" w:fill="F2F5F9"/>
          </w:tcPr>
          <w:p>
            <w:r>
              <w:rPr>
                <w:rFonts w:ascii="Times New Roman" w:hAnsi="Times New Roman"/>
                <w:b w:val="0"/>
                <w:color w:val="000000"/>
                <w:sz w:val="22"/>
              </w:rPr>
              <w:t>Direct ROSA Optimize mandate at all 14 eligible sites</w:t>
            </w:r>
          </w:p>
        </w:tc>
        <w:tc>
          <w:tcPr>
            <w:tcW w:type="dxa" w:w="2016"/>
            <w:shd w:val="clear" w:color="auto" w:fill="F2F5F9"/>
          </w:tcPr>
          <w:p>
            <w:r>
              <w:rPr>
                <w:rFonts w:ascii="Times New Roman" w:hAnsi="Times New Roman"/>
                <w:b w:val="0"/>
                <w:color w:val="000000"/>
                <w:sz w:val="22"/>
              </w:rPr>
              <w:t>ROSA Business Head</w:t>
            </w:r>
          </w:p>
        </w:tc>
        <w:tc>
          <w:tcPr>
            <w:tcW w:type="dxa" w:w="1152"/>
            <w:shd w:val="clear" w:color="auto" w:fill="F2F5F9"/>
          </w:tcPr>
          <w:p>
            <w:r>
              <w:rPr>
                <w:rFonts w:ascii="Times New Roman" w:hAnsi="Times New Roman"/>
                <w:b w:val="0"/>
                <w:color w:val="000000"/>
                <w:sz w:val="22"/>
              </w:rPr>
              <w:t>Week 4</w:t>
            </w:r>
          </w:p>
        </w:tc>
        <w:tc>
          <w:tcPr>
            <w:tcW w:type="dxa" w:w="2880"/>
            <w:shd w:val="clear" w:color="auto" w:fill="F2F5F9"/>
          </w:tcPr>
          <w:p>
            <w:r>
              <w:rPr>
                <w:rFonts w:ascii="Times New Roman" w:hAnsi="Times New Roman"/>
                <w:b w:val="0"/>
                <w:color w:val="000000"/>
                <w:sz w:val="22"/>
              </w:rPr>
              <w:t>Utilisation recovery; outcomes evidence pipeline</w:t>
            </w:r>
          </w:p>
        </w:tc>
      </w:tr>
      <w:tr>
        <w:tc>
          <w:tcPr>
            <w:tcW w:type="dxa" w:w="432"/>
            <w:shd w:val="clear" w:color="auto" w:fill="FFFFFF"/>
          </w:tcPr>
          <w:p>
            <w:r>
              <w:rPr>
                <w:rFonts w:ascii="Times New Roman" w:hAnsi="Times New Roman"/>
                <w:b/>
                <w:color w:val="000000"/>
                <w:sz w:val="22"/>
              </w:rPr>
              <w:t>D8</w:t>
            </w:r>
          </w:p>
        </w:tc>
        <w:tc>
          <w:tcPr>
            <w:tcW w:type="dxa" w:w="4032"/>
            <w:shd w:val="clear" w:color="auto" w:fill="FFFFFF"/>
          </w:tcPr>
          <w:p>
            <w:r>
              <w:rPr>
                <w:rFonts w:ascii="Times New Roman" w:hAnsi="Times New Roman"/>
                <w:b w:val="0"/>
                <w:color w:val="000000"/>
                <w:sz w:val="22"/>
              </w:rPr>
              <w:t>Nominate KOL Advisory Board (10 surgeons); appoint ROSA Clinical Champion per region</w:t>
            </w:r>
          </w:p>
        </w:tc>
        <w:tc>
          <w:tcPr>
            <w:tcW w:type="dxa" w:w="2016"/>
            <w:shd w:val="clear" w:color="auto" w:fill="FFFFFF"/>
          </w:tcPr>
          <w:p>
            <w:r>
              <w:rPr>
                <w:rFonts w:ascii="Times New Roman" w:hAnsi="Times New Roman"/>
                <w:b w:val="0"/>
                <w:color w:val="000000"/>
                <w:sz w:val="22"/>
              </w:rPr>
              <w:t>Marketing + Sales Head</w:t>
            </w:r>
          </w:p>
        </w:tc>
        <w:tc>
          <w:tcPr>
            <w:tcW w:type="dxa" w:w="1152"/>
            <w:shd w:val="clear" w:color="auto" w:fill="FFFFFF"/>
          </w:tcPr>
          <w:p>
            <w:r>
              <w:rPr>
                <w:rFonts w:ascii="Times New Roman" w:hAnsi="Times New Roman"/>
                <w:b w:val="0"/>
                <w:color w:val="000000"/>
                <w:sz w:val="22"/>
              </w:rPr>
              <w:t>Day 45</w:t>
            </w:r>
          </w:p>
        </w:tc>
        <w:tc>
          <w:tcPr>
            <w:tcW w:type="dxa" w:w="2880"/>
            <w:shd w:val="clear" w:color="auto" w:fill="FFFFFF"/>
          </w:tcPr>
          <w:p>
            <w:r>
              <w:rPr>
                <w:rFonts w:ascii="Times New Roman" w:hAnsi="Times New Roman"/>
                <w:b w:val="0"/>
                <w:color w:val="000000"/>
                <w:sz w:val="22"/>
              </w:rPr>
              <w:t>Institutional access; preferred vendor negotiations</w:t>
            </w:r>
          </w:p>
        </w:tc>
      </w:tr>
    </w:tbl>
    <w:p/>
    <w:p>
      <w:pPr>
        <w:spacing w:before="0" w:after="160" w:line="320" w:lineRule="exact"/>
        <w:jc w:val="left"/>
      </w:pPr>
    </w:p>
    <w:p>
      <w:pPr>
        <w:spacing w:after="160" w:before="0" w:line="360" w:lineRule="exact"/>
        <w:jc w:val="both"/>
      </w:pPr>
      <w:r>
        <w:rPr>
          <w:rFonts w:ascii="Times New Roman" w:hAnsi="Times New Roman"/>
          <w:color w:val="000000"/>
          <w:sz w:val="24"/>
        </w:rPr>
        <w:t>None of the eight decisions above requires fresh capital expenditure. All eight are organisational, commercial or policy decisions that sit within the Country Head's authority to make. The field has committed. The evidence is clear. The decisions are the only variable.</w:t>
      </w:r>
    </w:p>
    <w:p>
      <w:pPr>
        <w:spacing w:before="120" w:after="200" w:line="320" w:lineRule="exact"/>
        <w:ind w:left="360" w:right="360"/>
        <w:pBdr>
          <w:left w:val="single" w:sz="16" w:space="6" w:color="F0A500"/>
        </w:pBdr>
      </w:pPr>
      <w:r>
        <w:rPr>
          <w:rFonts w:ascii="Times New Roman" w:hAnsi="Times New Roman"/>
          <w:i/>
          <w:color w:val="F0A500"/>
          <w:sz w:val="24"/>
        </w:rPr>
        <w:t>If only three decisions are made this month, they should be D1 (team unification), D2 (bundle approval) and D4 (UMT formation). These three unlock every other initiative on the list.</w:t>
      </w:r>
    </w:p>
    <w:p>
      <w:pPr>
        <w:spacing w:before="80" w:after="80"/>
        <w:pBdr>
          <w:bottom w:val="single" w:sz="4" w:space="1" w:color="F0A500"/>
        </w:pBdr>
      </w:pPr>
    </w:p>
    <w:p>
      <w:pPr>
        <w:jc w:val="center"/>
      </w:pPr>
      <w:r>
        <w:rPr>
          <w:rFonts w:ascii="Times New Roman" w:hAnsi="Times New Roman"/>
          <w:i/>
          <w:color w:val="505050"/>
          <w:sz w:val="18"/>
        </w:rPr>
        <w:t>ZB India Unified Revenue Strategy  |  Prepared by ADGcatalyst Strategic Consulting  |  September 2026  |  Confidential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